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A95B" w14:textId="7F6361AA" w:rsidR="00A03C8F" w:rsidRPr="00235E16" w:rsidRDefault="00170ABE" w:rsidP="001E657C">
      <w:pPr>
        <w:pStyle w:val="Title"/>
      </w:pPr>
      <w:r w:rsidRPr="00235E16">
        <w:t>HEALTH POLICY</w:t>
      </w:r>
      <w:r w:rsidR="00A1566C">
        <w:t xml:space="preserve"> IN THE INDUSTRIALIZED WORLD</w:t>
      </w:r>
    </w:p>
    <w:p w14:paraId="2640DBC3" w14:textId="4A21C62B" w:rsidR="007D5208" w:rsidRPr="00235E16" w:rsidRDefault="007D5208" w:rsidP="007D5208">
      <w:pPr>
        <w:pStyle w:val="Subtitle"/>
        <w:tabs>
          <w:tab w:val="left" w:pos="2100"/>
          <w:tab w:val="center" w:pos="4680"/>
        </w:tabs>
        <w:spacing w:after="0" w:line="240" w:lineRule="auto"/>
      </w:pPr>
      <w:r w:rsidRPr="00235E16">
        <w:t xml:space="preserve">POLSCI </w:t>
      </w:r>
      <w:r w:rsidR="00C102A9">
        <w:t>4RR3</w:t>
      </w:r>
    </w:p>
    <w:p w14:paraId="2114CBF2" w14:textId="268FC2FE" w:rsidR="00A03C8F" w:rsidRPr="00235E16" w:rsidRDefault="00170ABE" w:rsidP="007D5208">
      <w:pPr>
        <w:pStyle w:val="Subtitle"/>
        <w:tabs>
          <w:tab w:val="left" w:pos="2100"/>
          <w:tab w:val="center" w:pos="4680"/>
        </w:tabs>
        <w:spacing w:line="240" w:lineRule="auto"/>
      </w:pPr>
      <w:r w:rsidRPr="00235E16">
        <w:t>Term 2</w:t>
      </w:r>
      <w:r w:rsidR="00DA1696" w:rsidRPr="00235E16">
        <w:t>,</w:t>
      </w:r>
      <w:bookmarkStart w:id="0" w:name="_GoBack"/>
      <w:bookmarkEnd w:id="0"/>
      <w:r w:rsidR="00DA1696" w:rsidRPr="00235E16">
        <w:t xml:space="preserve"> </w:t>
      </w:r>
      <w:r w:rsidRPr="00235E16">
        <w:t>Winter 2019</w:t>
      </w:r>
    </w:p>
    <w:p w14:paraId="35E0CC1F" w14:textId="77777777" w:rsidR="009F7FC2" w:rsidRPr="00235E16" w:rsidRDefault="009F7FC2" w:rsidP="009F7FC2">
      <w:pPr>
        <w:spacing w:after="0" w:line="240" w:lineRule="auto"/>
        <w:sectPr w:rsidR="009F7FC2" w:rsidRPr="00235E16" w:rsidSect="003D75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50" w:footer="720" w:gutter="0"/>
          <w:cols w:space="720"/>
          <w:docGrid w:linePitch="360"/>
        </w:sectPr>
      </w:pPr>
    </w:p>
    <w:p w14:paraId="0C038680" w14:textId="77777777" w:rsidR="00A03C8F" w:rsidRPr="00235E16" w:rsidRDefault="00A03C8F" w:rsidP="009F7FC2">
      <w:pPr>
        <w:spacing w:after="0" w:line="240" w:lineRule="auto"/>
      </w:pPr>
      <w:r w:rsidRPr="00235E16">
        <w:rPr>
          <w:b/>
        </w:rPr>
        <w:lastRenderedPageBreak/>
        <w:t>Instructor:</w:t>
      </w:r>
      <w:r w:rsidR="00974F47" w:rsidRPr="00235E16">
        <w:t xml:space="preserve"> Katherine </w:t>
      </w:r>
      <w:proofErr w:type="spellStart"/>
      <w:r w:rsidR="00974F47" w:rsidRPr="00235E16">
        <w:t>Boothe</w:t>
      </w:r>
      <w:proofErr w:type="spellEnd"/>
    </w:p>
    <w:p w14:paraId="7E4B89AE" w14:textId="77777777" w:rsidR="00A03C8F" w:rsidRPr="00235E16" w:rsidRDefault="00A03C8F" w:rsidP="009F7FC2">
      <w:pPr>
        <w:spacing w:after="0" w:line="240" w:lineRule="auto"/>
      </w:pPr>
      <w:r w:rsidRPr="00235E16">
        <w:rPr>
          <w:b/>
        </w:rPr>
        <w:t xml:space="preserve">Email: </w:t>
      </w:r>
      <w:r w:rsidR="00974F47" w:rsidRPr="00235E16">
        <w:t>boothek@mcmaster.ca</w:t>
      </w:r>
    </w:p>
    <w:p w14:paraId="32EDC65B" w14:textId="477B038E" w:rsidR="001E657C" w:rsidRPr="00235E16" w:rsidRDefault="001E657C" w:rsidP="00DA1696">
      <w:pPr>
        <w:spacing w:after="0" w:line="240" w:lineRule="auto"/>
      </w:pPr>
      <w:r w:rsidRPr="00235E16">
        <w:rPr>
          <w:b/>
        </w:rPr>
        <w:t>Lecture:</w:t>
      </w:r>
      <w:r w:rsidRPr="00235E16">
        <w:t xml:space="preserve"> </w:t>
      </w:r>
      <w:r w:rsidR="00A1566C">
        <w:t>Thursdays</w:t>
      </w:r>
      <w:r w:rsidR="00190540" w:rsidRPr="00235E16">
        <w:t xml:space="preserve">, </w:t>
      </w:r>
      <w:r w:rsidR="00A1566C">
        <w:t>11.3</w:t>
      </w:r>
      <w:r w:rsidR="00190540" w:rsidRPr="00235E16">
        <w:t>0a</w:t>
      </w:r>
      <w:r w:rsidR="00974F47" w:rsidRPr="00235E16">
        <w:t>m</w:t>
      </w:r>
      <w:r w:rsidR="00A1566C">
        <w:t>-2.20pm</w:t>
      </w:r>
    </w:p>
    <w:p w14:paraId="5F4BCEF9" w14:textId="378B645F" w:rsidR="00DA1696" w:rsidRPr="00235E16" w:rsidRDefault="00DA1696" w:rsidP="00DA1696">
      <w:pPr>
        <w:spacing w:line="240" w:lineRule="auto"/>
      </w:pPr>
      <w:r w:rsidRPr="00235E16">
        <w:rPr>
          <w:b/>
        </w:rPr>
        <w:t>Classroom:</w:t>
      </w:r>
      <w:r w:rsidRPr="00235E16">
        <w:t xml:space="preserve"> </w:t>
      </w:r>
      <w:r w:rsidR="00A1566C">
        <w:t>TSH B129</w:t>
      </w:r>
    </w:p>
    <w:p w14:paraId="66DF6B7F" w14:textId="77777777" w:rsidR="00A03C8F" w:rsidRPr="00235E16" w:rsidRDefault="00A03C8F" w:rsidP="009F7FC2">
      <w:pPr>
        <w:spacing w:after="0" w:line="240" w:lineRule="auto"/>
      </w:pPr>
      <w:r w:rsidRPr="00235E16">
        <w:rPr>
          <w:b/>
        </w:rPr>
        <w:lastRenderedPageBreak/>
        <w:t>Office:</w:t>
      </w:r>
      <w:r w:rsidR="009F7FC2" w:rsidRPr="00235E16">
        <w:rPr>
          <w:b/>
        </w:rPr>
        <w:t xml:space="preserve"> </w:t>
      </w:r>
      <w:r w:rsidR="00974F47" w:rsidRPr="00235E16">
        <w:t>KTH 525</w:t>
      </w:r>
    </w:p>
    <w:p w14:paraId="242BCA32" w14:textId="433E6258" w:rsidR="00A03C8F" w:rsidRPr="00235E16" w:rsidRDefault="00A03C8F" w:rsidP="009F7FC2">
      <w:pPr>
        <w:spacing w:line="240" w:lineRule="auto"/>
      </w:pPr>
      <w:r w:rsidRPr="00235E16">
        <w:rPr>
          <w:b/>
        </w:rPr>
        <w:t>Office Hours:</w:t>
      </w:r>
      <w:r w:rsidR="001E657C" w:rsidRPr="00235E16">
        <w:rPr>
          <w:b/>
        </w:rPr>
        <w:t xml:space="preserve"> </w:t>
      </w:r>
      <w:r w:rsidR="00063B49" w:rsidRPr="00235E16">
        <w:t>Tuesdays</w:t>
      </w:r>
      <w:r w:rsidR="00974F47" w:rsidRPr="00235E16">
        <w:t xml:space="preserve"> 11.30am-1pm or by appointment</w:t>
      </w:r>
    </w:p>
    <w:p w14:paraId="0B1DE2B9" w14:textId="77777777" w:rsidR="00DA1696" w:rsidRPr="00235E16" w:rsidRDefault="00DA1696" w:rsidP="009F7FC2">
      <w:pPr>
        <w:spacing w:line="240" w:lineRule="auto"/>
        <w:sectPr w:rsidR="00DA1696" w:rsidRPr="00235E16"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620283B6" w14:textId="77777777" w:rsidR="00B74D6C" w:rsidRPr="00235E16" w:rsidRDefault="00B74D6C">
          <w:pPr>
            <w:pStyle w:val="TOCHeading"/>
            <w:rPr>
              <w:rFonts w:ascii="Arial" w:hAnsi="Arial" w:cs="Arial"/>
              <w:b/>
              <w:color w:val="auto"/>
            </w:rPr>
          </w:pPr>
          <w:r w:rsidRPr="00235E16">
            <w:rPr>
              <w:rFonts w:ascii="Arial" w:hAnsi="Arial" w:cs="Arial"/>
              <w:b/>
              <w:color w:val="auto"/>
            </w:rPr>
            <w:t>Contents</w:t>
          </w:r>
        </w:p>
        <w:p w14:paraId="0B860ED8" w14:textId="77777777" w:rsidR="00FC12F2" w:rsidRDefault="003D75ED">
          <w:pPr>
            <w:pStyle w:val="TOC1"/>
            <w:tabs>
              <w:tab w:val="right" w:leader="dot" w:pos="9350"/>
            </w:tabs>
            <w:rPr>
              <w:rFonts w:asciiTheme="minorHAnsi" w:eastAsiaTheme="minorEastAsia" w:hAnsiTheme="minorHAnsi"/>
              <w:noProof/>
              <w:szCs w:val="24"/>
            </w:rPr>
          </w:pPr>
          <w:r w:rsidRPr="00235E16">
            <w:rPr>
              <w:rFonts w:cs="Arial"/>
            </w:rPr>
            <w:fldChar w:fldCharType="begin"/>
          </w:r>
          <w:r w:rsidRPr="00235E16">
            <w:rPr>
              <w:rFonts w:cs="Arial"/>
            </w:rPr>
            <w:instrText xml:space="preserve"> TOC \o "1-2" \h \z \u </w:instrText>
          </w:r>
          <w:r w:rsidRPr="00235E16">
            <w:rPr>
              <w:rFonts w:cs="Arial"/>
            </w:rPr>
            <w:fldChar w:fldCharType="separate"/>
          </w:r>
          <w:hyperlink w:anchor="_Toc534793456" w:history="1">
            <w:r w:rsidR="00FC12F2" w:rsidRPr="008A418C">
              <w:rPr>
                <w:rStyle w:val="Hyperlink"/>
                <w:noProof/>
              </w:rPr>
              <w:t>Course Description</w:t>
            </w:r>
            <w:r w:rsidR="00FC12F2">
              <w:rPr>
                <w:noProof/>
                <w:webHidden/>
              </w:rPr>
              <w:tab/>
            </w:r>
            <w:r w:rsidR="00FC12F2">
              <w:rPr>
                <w:noProof/>
                <w:webHidden/>
              </w:rPr>
              <w:fldChar w:fldCharType="begin"/>
            </w:r>
            <w:r w:rsidR="00FC12F2">
              <w:rPr>
                <w:noProof/>
                <w:webHidden/>
              </w:rPr>
              <w:instrText xml:space="preserve"> PAGEREF _Toc534793456 \h </w:instrText>
            </w:r>
            <w:r w:rsidR="00FC12F2">
              <w:rPr>
                <w:noProof/>
                <w:webHidden/>
              </w:rPr>
            </w:r>
            <w:r w:rsidR="00FC12F2">
              <w:rPr>
                <w:noProof/>
                <w:webHidden/>
              </w:rPr>
              <w:fldChar w:fldCharType="separate"/>
            </w:r>
            <w:r w:rsidR="00FC12F2">
              <w:rPr>
                <w:noProof/>
                <w:webHidden/>
              </w:rPr>
              <w:t>3</w:t>
            </w:r>
            <w:r w:rsidR="00FC12F2">
              <w:rPr>
                <w:noProof/>
                <w:webHidden/>
              </w:rPr>
              <w:fldChar w:fldCharType="end"/>
            </w:r>
          </w:hyperlink>
        </w:p>
        <w:p w14:paraId="30F42B78" w14:textId="77777777" w:rsidR="00FC12F2" w:rsidRDefault="00BC4EFB">
          <w:pPr>
            <w:pStyle w:val="TOC1"/>
            <w:tabs>
              <w:tab w:val="right" w:leader="dot" w:pos="9350"/>
            </w:tabs>
            <w:rPr>
              <w:rFonts w:asciiTheme="minorHAnsi" w:eastAsiaTheme="minorEastAsia" w:hAnsiTheme="minorHAnsi"/>
              <w:noProof/>
              <w:szCs w:val="24"/>
            </w:rPr>
          </w:pPr>
          <w:hyperlink w:anchor="_Toc534793457" w:history="1">
            <w:r w:rsidR="00FC12F2" w:rsidRPr="008A418C">
              <w:rPr>
                <w:rStyle w:val="Hyperlink"/>
                <w:noProof/>
              </w:rPr>
              <w:t>Course Objectives</w:t>
            </w:r>
            <w:r w:rsidR="00FC12F2">
              <w:rPr>
                <w:noProof/>
                <w:webHidden/>
              </w:rPr>
              <w:tab/>
            </w:r>
            <w:r w:rsidR="00FC12F2">
              <w:rPr>
                <w:noProof/>
                <w:webHidden/>
              </w:rPr>
              <w:fldChar w:fldCharType="begin"/>
            </w:r>
            <w:r w:rsidR="00FC12F2">
              <w:rPr>
                <w:noProof/>
                <w:webHidden/>
              </w:rPr>
              <w:instrText xml:space="preserve"> PAGEREF _Toc534793457 \h </w:instrText>
            </w:r>
            <w:r w:rsidR="00FC12F2">
              <w:rPr>
                <w:noProof/>
                <w:webHidden/>
              </w:rPr>
            </w:r>
            <w:r w:rsidR="00FC12F2">
              <w:rPr>
                <w:noProof/>
                <w:webHidden/>
              </w:rPr>
              <w:fldChar w:fldCharType="separate"/>
            </w:r>
            <w:r w:rsidR="00FC12F2">
              <w:rPr>
                <w:noProof/>
                <w:webHidden/>
              </w:rPr>
              <w:t>3</w:t>
            </w:r>
            <w:r w:rsidR="00FC12F2">
              <w:rPr>
                <w:noProof/>
                <w:webHidden/>
              </w:rPr>
              <w:fldChar w:fldCharType="end"/>
            </w:r>
          </w:hyperlink>
        </w:p>
        <w:p w14:paraId="22345A82" w14:textId="77777777" w:rsidR="00FC12F2" w:rsidRDefault="00BC4EFB">
          <w:pPr>
            <w:pStyle w:val="TOC1"/>
            <w:tabs>
              <w:tab w:val="right" w:leader="dot" w:pos="9350"/>
            </w:tabs>
            <w:rPr>
              <w:rFonts w:asciiTheme="minorHAnsi" w:eastAsiaTheme="minorEastAsia" w:hAnsiTheme="minorHAnsi"/>
              <w:noProof/>
              <w:szCs w:val="24"/>
            </w:rPr>
          </w:pPr>
          <w:hyperlink w:anchor="_Toc534793458" w:history="1">
            <w:r w:rsidR="00FC12F2" w:rsidRPr="008A418C">
              <w:rPr>
                <w:rStyle w:val="Hyperlink"/>
                <w:noProof/>
              </w:rPr>
              <w:t>Required Materials and Texts</w:t>
            </w:r>
            <w:r w:rsidR="00FC12F2">
              <w:rPr>
                <w:noProof/>
                <w:webHidden/>
              </w:rPr>
              <w:tab/>
            </w:r>
            <w:r w:rsidR="00FC12F2">
              <w:rPr>
                <w:noProof/>
                <w:webHidden/>
              </w:rPr>
              <w:fldChar w:fldCharType="begin"/>
            </w:r>
            <w:r w:rsidR="00FC12F2">
              <w:rPr>
                <w:noProof/>
                <w:webHidden/>
              </w:rPr>
              <w:instrText xml:space="preserve"> PAGEREF _Toc534793458 \h </w:instrText>
            </w:r>
            <w:r w:rsidR="00FC12F2">
              <w:rPr>
                <w:noProof/>
                <w:webHidden/>
              </w:rPr>
            </w:r>
            <w:r w:rsidR="00FC12F2">
              <w:rPr>
                <w:noProof/>
                <w:webHidden/>
              </w:rPr>
              <w:fldChar w:fldCharType="separate"/>
            </w:r>
            <w:r w:rsidR="00FC12F2">
              <w:rPr>
                <w:noProof/>
                <w:webHidden/>
              </w:rPr>
              <w:t>3</w:t>
            </w:r>
            <w:r w:rsidR="00FC12F2">
              <w:rPr>
                <w:noProof/>
                <w:webHidden/>
              </w:rPr>
              <w:fldChar w:fldCharType="end"/>
            </w:r>
          </w:hyperlink>
        </w:p>
        <w:p w14:paraId="4D8104BE" w14:textId="77777777" w:rsidR="00FC12F2" w:rsidRDefault="00BC4EFB">
          <w:pPr>
            <w:pStyle w:val="TOC1"/>
            <w:tabs>
              <w:tab w:val="right" w:leader="dot" w:pos="9350"/>
            </w:tabs>
            <w:rPr>
              <w:rFonts w:asciiTheme="minorHAnsi" w:eastAsiaTheme="minorEastAsia" w:hAnsiTheme="minorHAnsi"/>
              <w:noProof/>
              <w:szCs w:val="24"/>
            </w:rPr>
          </w:pPr>
          <w:hyperlink w:anchor="_Toc534793459" w:history="1">
            <w:r w:rsidR="00FC12F2" w:rsidRPr="008A418C">
              <w:rPr>
                <w:rStyle w:val="Hyperlink"/>
                <w:noProof/>
              </w:rPr>
              <w:t>Class Format</w:t>
            </w:r>
            <w:r w:rsidR="00FC12F2">
              <w:rPr>
                <w:noProof/>
                <w:webHidden/>
              </w:rPr>
              <w:tab/>
            </w:r>
            <w:r w:rsidR="00FC12F2">
              <w:rPr>
                <w:noProof/>
                <w:webHidden/>
              </w:rPr>
              <w:fldChar w:fldCharType="begin"/>
            </w:r>
            <w:r w:rsidR="00FC12F2">
              <w:rPr>
                <w:noProof/>
                <w:webHidden/>
              </w:rPr>
              <w:instrText xml:space="preserve"> PAGEREF _Toc534793459 \h </w:instrText>
            </w:r>
            <w:r w:rsidR="00FC12F2">
              <w:rPr>
                <w:noProof/>
                <w:webHidden/>
              </w:rPr>
            </w:r>
            <w:r w:rsidR="00FC12F2">
              <w:rPr>
                <w:noProof/>
                <w:webHidden/>
              </w:rPr>
              <w:fldChar w:fldCharType="separate"/>
            </w:r>
            <w:r w:rsidR="00FC12F2">
              <w:rPr>
                <w:noProof/>
                <w:webHidden/>
              </w:rPr>
              <w:t>3</w:t>
            </w:r>
            <w:r w:rsidR="00FC12F2">
              <w:rPr>
                <w:noProof/>
                <w:webHidden/>
              </w:rPr>
              <w:fldChar w:fldCharType="end"/>
            </w:r>
          </w:hyperlink>
        </w:p>
        <w:p w14:paraId="699FCCDB" w14:textId="77777777" w:rsidR="00FC12F2" w:rsidRDefault="00BC4EFB">
          <w:pPr>
            <w:pStyle w:val="TOC1"/>
            <w:tabs>
              <w:tab w:val="right" w:leader="dot" w:pos="9350"/>
            </w:tabs>
            <w:rPr>
              <w:rFonts w:asciiTheme="minorHAnsi" w:eastAsiaTheme="minorEastAsia" w:hAnsiTheme="minorHAnsi"/>
              <w:noProof/>
              <w:szCs w:val="24"/>
            </w:rPr>
          </w:pPr>
          <w:hyperlink w:anchor="_Toc534793460" w:history="1">
            <w:r w:rsidR="00FC12F2" w:rsidRPr="008A418C">
              <w:rPr>
                <w:rStyle w:val="Hyperlink"/>
                <w:noProof/>
              </w:rPr>
              <w:t>Course Evaluation – Overview</w:t>
            </w:r>
            <w:r w:rsidR="00FC12F2">
              <w:rPr>
                <w:noProof/>
                <w:webHidden/>
              </w:rPr>
              <w:tab/>
            </w:r>
            <w:r w:rsidR="00FC12F2">
              <w:rPr>
                <w:noProof/>
                <w:webHidden/>
              </w:rPr>
              <w:fldChar w:fldCharType="begin"/>
            </w:r>
            <w:r w:rsidR="00FC12F2">
              <w:rPr>
                <w:noProof/>
                <w:webHidden/>
              </w:rPr>
              <w:instrText xml:space="preserve"> PAGEREF _Toc534793460 \h </w:instrText>
            </w:r>
            <w:r w:rsidR="00FC12F2">
              <w:rPr>
                <w:noProof/>
                <w:webHidden/>
              </w:rPr>
            </w:r>
            <w:r w:rsidR="00FC12F2">
              <w:rPr>
                <w:noProof/>
                <w:webHidden/>
              </w:rPr>
              <w:fldChar w:fldCharType="separate"/>
            </w:r>
            <w:r w:rsidR="00FC12F2">
              <w:rPr>
                <w:noProof/>
                <w:webHidden/>
              </w:rPr>
              <w:t>4</w:t>
            </w:r>
            <w:r w:rsidR="00FC12F2">
              <w:rPr>
                <w:noProof/>
                <w:webHidden/>
              </w:rPr>
              <w:fldChar w:fldCharType="end"/>
            </w:r>
          </w:hyperlink>
        </w:p>
        <w:p w14:paraId="3282D39D" w14:textId="77777777" w:rsidR="00FC12F2" w:rsidRDefault="00BC4EFB">
          <w:pPr>
            <w:pStyle w:val="TOC1"/>
            <w:tabs>
              <w:tab w:val="right" w:leader="dot" w:pos="9350"/>
            </w:tabs>
            <w:rPr>
              <w:rFonts w:asciiTheme="minorHAnsi" w:eastAsiaTheme="minorEastAsia" w:hAnsiTheme="minorHAnsi"/>
              <w:noProof/>
              <w:szCs w:val="24"/>
            </w:rPr>
          </w:pPr>
          <w:hyperlink w:anchor="_Toc534793461" w:history="1">
            <w:r w:rsidR="00FC12F2" w:rsidRPr="008A418C">
              <w:rPr>
                <w:rStyle w:val="Hyperlink"/>
                <w:noProof/>
              </w:rPr>
              <w:t>Course Evaluation – Details</w:t>
            </w:r>
            <w:r w:rsidR="00FC12F2">
              <w:rPr>
                <w:noProof/>
                <w:webHidden/>
              </w:rPr>
              <w:tab/>
            </w:r>
            <w:r w:rsidR="00FC12F2">
              <w:rPr>
                <w:noProof/>
                <w:webHidden/>
              </w:rPr>
              <w:fldChar w:fldCharType="begin"/>
            </w:r>
            <w:r w:rsidR="00FC12F2">
              <w:rPr>
                <w:noProof/>
                <w:webHidden/>
              </w:rPr>
              <w:instrText xml:space="preserve"> PAGEREF _Toc534793461 \h </w:instrText>
            </w:r>
            <w:r w:rsidR="00FC12F2">
              <w:rPr>
                <w:noProof/>
                <w:webHidden/>
              </w:rPr>
            </w:r>
            <w:r w:rsidR="00FC12F2">
              <w:rPr>
                <w:noProof/>
                <w:webHidden/>
              </w:rPr>
              <w:fldChar w:fldCharType="separate"/>
            </w:r>
            <w:r w:rsidR="00FC12F2">
              <w:rPr>
                <w:noProof/>
                <w:webHidden/>
              </w:rPr>
              <w:t>4</w:t>
            </w:r>
            <w:r w:rsidR="00FC12F2">
              <w:rPr>
                <w:noProof/>
                <w:webHidden/>
              </w:rPr>
              <w:fldChar w:fldCharType="end"/>
            </w:r>
          </w:hyperlink>
        </w:p>
        <w:p w14:paraId="5FFCF0A5" w14:textId="77777777" w:rsidR="00FC12F2" w:rsidRDefault="00BC4EFB">
          <w:pPr>
            <w:pStyle w:val="TOC2"/>
            <w:tabs>
              <w:tab w:val="right" w:leader="dot" w:pos="9350"/>
            </w:tabs>
            <w:rPr>
              <w:rFonts w:asciiTheme="minorHAnsi" w:eastAsiaTheme="minorEastAsia" w:hAnsiTheme="minorHAnsi"/>
              <w:noProof/>
              <w:szCs w:val="24"/>
            </w:rPr>
          </w:pPr>
          <w:hyperlink w:anchor="_Toc534793462" w:history="1">
            <w:r w:rsidR="00FC12F2" w:rsidRPr="008A418C">
              <w:rPr>
                <w:rStyle w:val="Hyperlink"/>
                <w:noProof/>
              </w:rPr>
              <w:t>Participation (15%, ongoing)</w:t>
            </w:r>
            <w:r w:rsidR="00FC12F2">
              <w:rPr>
                <w:noProof/>
                <w:webHidden/>
              </w:rPr>
              <w:tab/>
            </w:r>
            <w:r w:rsidR="00FC12F2">
              <w:rPr>
                <w:noProof/>
                <w:webHidden/>
              </w:rPr>
              <w:fldChar w:fldCharType="begin"/>
            </w:r>
            <w:r w:rsidR="00FC12F2">
              <w:rPr>
                <w:noProof/>
                <w:webHidden/>
              </w:rPr>
              <w:instrText xml:space="preserve"> PAGEREF _Toc534793462 \h </w:instrText>
            </w:r>
            <w:r w:rsidR="00FC12F2">
              <w:rPr>
                <w:noProof/>
                <w:webHidden/>
              </w:rPr>
            </w:r>
            <w:r w:rsidR="00FC12F2">
              <w:rPr>
                <w:noProof/>
                <w:webHidden/>
              </w:rPr>
              <w:fldChar w:fldCharType="separate"/>
            </w:r>
            <w:r w:rsidR="00FC12F2">
              <w:rPr>
                <w:noProof/>
                <w:webHidden/>
              </w:rPr>
              <w:t>4</w:t>
            </w:r>
            <w:r w:rsidR="00FC12F2">
              <w:rPr>
                <w:noProof/>
                <w:webHidden/>
              </w:rPr>
              <w:fldChar w:fldCharType="end"/>
            </w:r>
          </w:hyperlink>
        </w:p>
        <w:p w14:paraId="05A8D624" w14:textId="77777777" w:rsidR="00FC12F2" w:rsidRDefault="00BC4EFB">
          <w:pPr>
            <w:pStyle w:val="TOC2"/>
            <w:tabs>
              <w:tab w:val="right" w:leader="dot" w:pos="9350"/>
            </w:tabs>
            <w:rPr>
              <w:rFonts w:asciiTheme="minorHAnsi" w:eastAsiaTheme="minorEastAsia" w:hAnsiTheme="minorHAnsi"/>
              <w:noProof/>
              <w:szCs w:val="24"/>
            </w:rPr>
          </w:pPr>
          <w:hyperlink w:anchor="_Toc534793463" w:history="1">
            <w:r w:rsidR="00FC12F2" w:rsidRPr="008A418C">
              <w:rPr>
                <w:rStyle w:val="Hyperlink"/>
                <w:noProof/>
              </w:rPr>
              <w:t>Weekly reading posts (10%, ongoing)</w:t>
            </w:r>
            <w:r w:rsidR="00FC12F2">
              <w:rPr>
                <w:noProof/>
                <w:webHidden/>
              </w:rPr>
              <w:tab/>
            </w:r>
            <w:r w:rsidR="00FC12F2">
              <w:rPr>
                <w:noProof/>
                <w:webHidden/>
              </w:rPr>
              <w:fldChar w:fldCharType="begin"/>
            </w:r>
            <w:r w:rsidR="00FC12F2">
              <w:rPr>
                <w:noProof/>
                <w:webHidden/>
              </w:rPr>
              <w:instrText xml:space="preserve"> PAGEREF _Toc534793463 \h </w:instrText>
            </w:r>
            <w:r w:rsidR="00FC12F2">
              <w:rPr>
                <w:noProof/>
                <w:webHidden/>
              </w:rPr>
            </w:r>
            <w:r w:rsidR="00FC12F2">
              <w:rPr>
                <w:noProof/>
                <w:webHidden/>
              </w:rPr>
              <w:fldChar w:fldCharType="separate"/>
            </w:r>
            <w:r w:rsidR="00FC12F2">
              <w:rPr>
                <w:noProof/>
                <w:webHidden/>
              </w:rPr>
              <w:t>4</w:t>
            </w:r>
            <w:r w:rsidR="00FC12F2">
              <w:rPr>
                <w:noProof/>
                <w:webHidden/>
              </w:rPr>
              <w:fldChar w:fldCharType="end"/>
            </w:r>
          </w:hyperlink>
        </w:p>
        <w:p w14:paraId="392BE1A5" w14:textId="77777777" w:rsidR="00FC12F2" w:rsidRDefault="00BC4EFB">
          <w:pPr>
            <w:pStyle w:val="TOC2"/>
            <w:tabs>
              <w:tab w:val="right" w:leader="dot" w:pos="9350"/>
            </w:tabs>
            <w:rPr>
              <w:rFonts w:asciiTheme="minorHAnsi" w:eastAsiaTheme="minorEastAsia" w:hAnsiTheme="minorHAnsi"/>
              <w:noProof/>
              <w:szCs w:val="24"/>
            </w:rPr>
          </w:pPr>
          <w:hyperlink w:anchor="_Toc534793464" w:history="1">
            <w:r w:rsidR="00FC12F2" w:rsidRPr="008A418C">
              <w:rPr>
                <w:rStyle w:val="Hyperlink"/>
                <w:noProof/>
              </w:rPr>
              <w:t>Discussion leadership (5%, date determined first week)</w:t>
            </w:r>
            <w:r w:rsidR="00FC12F2">
              <w:rPr>
                <w:noProof/>
                <w:webHidden/>
              </w:rPr>
              <w:tab/>
            </w:r>
            <w:r w:rsidR="00FC12F2">
              <w:rPr>
                <w:noProof/>
                <w:webHidden/>
              </w:rPr>
              <w:fldChar w:fldCharType="begin"/>
            </w:r>
            <w:r w:rsidR="00FC12F2">
              <w:rPr>
                <w:noProof/>
                <w:webHidden/>
              </w:rPr>
              <w:instrText xml:space="preserve"> PAGEREF _Toc534793464 \h </w:instrText>
            </w:r>
            <w:r w:rsidR="00FC12F2">
              <w:rPr>
                <w:noProof/>
                <w:webHidden/>
              </w:rPr>
            </w:r>
            <w:r w:rsidR="00FC12F2">
              <w:rPr>
                <w:noProof/>
                <w:webHidden/>
              </w:rPr>
              <w:fldChar w:fldCharType="separate"/>
            </w:r>
            <w:r w:rsidR="00FC12F2">
              <w:rPr>
                <w:noProof/>
                <w:webHidden/>
              </w:rPr>
              <w:t>5</w:t>
            </w:r>
            <w:r w:rsidR="00FC12F2">
              <w:rPr>
                <w:noProof/>
                <w:webHidden/>
              </w:rPr>
              <w:fldChar w:fldCharType="end"/>
            </w:r>
          </w:hyperlink>
        </w:p>
        <w:p w14:paraId="637C441E" w14:textId="77777777" w:rsidR="00FC12F2" w:rsidRDefault="00BC4EFB">
          <w:pPr>
            <w:pStyle w:val="TOC2"/>
            <w:tabs>
              <w:tab w:val="right" w:leader="dot" w:pos="9350"/>
            </w:tabs>
            <w:rPr>
              <w:rFonts w:asciiTheme="minorHAnsi" w:eastAsiaTheme="minorEastAsia" w:hAnsiTheme="minorHAnsi"/>
              <w:noProof/>
              <w:szCs w:val="24"/>
            </w:rPr>
          </w:pPr>
          <w:hyperlink w:anchor="_Toc534793465" w:history="1">
            <w:r w:rsidR="00FC12F2" w:rsidRPr="008A418C">
              <w:rPr>
                <w:rStyle w:val="Hyperlink"/>
                <w:noProof/>
              </w:rPr>
              <w:t>Topic statement and bibliography (10%, Due February 13 at 11.59, by email)</w:t>
            </w:r>
            <w:r w:rsidR="00FC12F2">
              <w:rPr>
                <w:noProof/>
                <w:webHidden/>
              </w:rPr>
              <w:tab/>
            </w:r>
            <w:r w:rsidR="00FC12F2">
              <w:rPr>
                <w:noProof/>
                <w:webHidden/>
              </w:rPr>
              <w:fldChar w:fldCharType="begin"/>
            </w:r>
            <w:r w:rsidR="00FC12F2">
              <w:rPr>
                <w:noProof/>
                <w:webHidden/>
              </w:rPr>
              <w:instrText xml:space="preserve"> PAGEREF _Toc534793465 \h </w:instrText>
            </w:r>
            <w:r w:rsidR="00FC12F2">
              <w:rPr>
                <w:noProof/>
                <w:webHidden/>
              </w:rPr>
            </w:r>
            <w:r w:rsidR="00FC12F2">
              <w:rPr>
                <w:noProof/>
                <w:webHidden/>
              </w:rPr>
              <w:fldChar w:fldCharType="separate"/>
            </w:r>
            <w:r w:rsidR="00FC12F2">
              <w:rPr>
                <w:noProof/>
                <w:webHidden/>
              </w:rPr>
              <w:t>5</w:t>
            </w:r>
            <w:r w:rsidR="00FC12F2">
              <w:rPr>
                <w:noProof/>
                <w:webHidden/>
              </w:rPr>
              <w:fldChar w:fldCharType="end"/>
            </w:r>
          </w:hyperlink>
        </w:p>
        <w:p w14:paraId="314E102F" w14:textId="77777777" w:rsidR="00FC12F2" w:rsidRDefault="00BC4EFB">
          <w:pPr>
            <w:pStyle w:val="TOC2"/>
            <w:tabs>
              <w:tab w:val="right" w:leader="dot" w:pos="9350"/>
            </w:tabs>
            <w:rPr>
              <w:rFonts w:asciiTheme="minorHAnsi" w:eastAsiaTheme="minorEastAsia" w:hAnsiTheme="minorHAnsi"/>
              <w:noProof/>
              <w:szCs w:val="24"/>
            </w:rPr>
          </w:pPr>
          <w:hyperlink w:anchor="_Toc534793466" w:history="1">
            <w:r w:rsidR="00FC12F2" w:rsidRPr="008A418C">
              <w:rPr>
                <w:rStyle w:val="Hyperlink"/>
                <w:noProof/>
              </w:rPr>
              <w:t>Information note (25%, Due March 13 by 11.59pm, by email)</w:t>
            </w:r>
            <w:r w:rsidR="00FC12F2">
              <w:rPr>
                <w:noProof/>
                <w:webHidden/>
              </w:rPr>
              <w:tab/>
            </w:r>
            <w:r w:rsidR="00FC12F2">
              <w:rPr>
                <w:noProof/>
                <w:webHidden/>
              </w:rPr>
              <w:fldChar w:fldCharType="begin"/>
            </w:r>
            <w:r w:rsidR="00FC12F2">
              <w:rPr>
                <w:noProof/>
                <w:webHidden/>
              </w:rPr>
              <w:instrText xml:space="preserve"> PAGEREF _Toc534793466 \h </w:instrText>
            </w:r>
            <w:r w:rsidR="00FC12F2">
              <w:rPr>
                <w:noProof/>
                <w:webHidden/>
              </w:rPr>
            </w:r>
            <w:r w:rsidR="00FC12F2">
              <w:rPr>
                <w:noProof/>
                <w:webHidden/>
              </w:rPr>
              <w:fldChar w:fldCharType="separate"/>
            </w:r>
            <w:r w:rsidR="00FC12F2">
              <w:rPr>
                <w:noProof/>
                <w:webHidden/>
              </w:rPr>
              <w:t>5</w:t>
            </w:r>
            <w:r w:rsidR="00FC12F2">
              <w:rPr>
                <w:noProof/>
                <w:webHidden/>
              </w:rPr>
              <w:fldChar w:fldCharType="end"/>
            </w:r>
          </w:hyperlink>
        </w:p>
        <w:p w14:paraId="1ACFBA63" w14:textId="77777777" w:rsidR="00FC12F2" w:rsidRDefault="00BC4EFB">
          <w:pPr>
            <w:pStyle w:val="TOC2"/>
            <w:tabs>
              <w:tab w:val="right" w:leader="dot" w:pos="9350"/>
            </w:tabs>
            <w:rPr>
              <w:rFonts w:asciiTheme="minorHAnsi" w:eastAsiaTheme="minorEastAsia" w:hAnsiTheme="minorHAnsi"/>
              <w:noProof/>
              <w:szCs w:val="24"/>
            </w:rPr>
          </w:pPr>
          <w:hyperlink w:anchor="_Toc534793467" w:history="1">
            <w:r w:rsidR="00FC12F2" w:rsidRPr="008A418C">
              <w:rPr>
                <w:rStyle w:val="Hyperlink"/>
                <w:noProof/>
              </w:rPr>
              <w:t>Decision note (35%, Due April 8 by 11.59pm, by email)</w:t>
            </w:r>
            <w:r w:rsidR="00FC12F2">
              <w:rPr>
                <w:noProof/>
                <w:webHidden/>
              </w:rPr>
              <w:tab/>
            </w:r>
            <w:r w:rsidR="00FC12F2">
              <w:rPr>
                <w:noProof/>
                <w:webHidden/>
              </w:rPr>
              <w:fldChar w:fldCharType="begin"/>
            </w:r>
            <w:r w:rsidR="00FC12F2">
              <w:rPr>
                <w:noProof/>
                <w:webHidden/>
              </w:rPr>
              <w:instrText xml:space="preserve"> PAGEREF _Toc534793467 \h </w:instrText>
            </w:r>
            <w:r w:rsidR="00FC12F2">
              <w:rPr>
                <w:noProof/>
                <w:webHidden/>
              </w:rPr>
            </w:r>
            <w:r w:rsidR="00FC12F2">
              <w:rPr>
                <w:noProof/>
                <w:webHidden/>
              </w:rPr>
              <w:fldChar w:fldCharType="separate"/>
            </w:r>
            <w:r w:rsidR="00FC12F2">
              <w:rPr>
                <w:noProof/>
                <w:webHidden/>
              </w:rPr>
              <w:t>6</w:t>
            </w:r>
            <w:r w:rsidR="00FC12F2">
              <w:rPr>
                <w:noProof/>
                <w:webHidden/>
              </w:rPr>
              <w:fldChar w:fldCharType="end"/>
            </w:r>
          </w:hyperlink>
        </w:p>
        <w:p w14:paraId="2E2E1D3E" w14:textId="77777777" w:rsidR="00FC12F2" w:rsidRDefault="00BC4EFB">
          <w:pPr>
            <w:pStyle w:val="TOC1"/>
            <w:tabs>
              <w:tab w:val="right" w:leader="dot" w:pos="9350"/>
            </w:tabs>
            <w:rPr>
              <w:rFonts w:asciiTheme="minorHAnsi" w:eastAsiaTheme="minorEastAsia" w:hAnsiTheme="minorHAnsi"/>
              <w:noProof/>
              <w:szCs w:val="24"/>
            </w:rPr>
          </w:pPr>
          <w:hyperlink w:anchor="_Toc534793468" w:history="1">
            <w:r w:rsidR="00FC12F2" w:rsidRPr="008A418C">
              <w:rPr>
                <w:rStyle w:val="Hyperlink"/>
                <w:noProof/>
              </w:rPr>
              <w:t>Weekly Course Schedule and Required Readings</w:t>
            </w:r>
            <w:r w:rsidR="00FC12F2">
              <w:rPr>
                <w:noProof/>
                <w:webHidden/>
              </w:rPr>
              <w:tab/>
            </w:r>
            <w:r w:rsidR="00FC12F2">
              <w:rPr>
                <w:noProof/>
                <w:webHidden/>
              </w:rPr>
              <w:fldChar w:fldCharType="begin"/>
            </w:r>
            <w:r w:rsidR="00FC12F2">
              <w:rPr>
                <w:noProof/>
                <w:webHidden/>
              </w:rPr>
              <w:instrText xml:space="preserve"> PAGEREF _Toc534793468 \h </w:instrText>
            </w:r>
            <w:r w:rsidR="00FC12F2">
              <w:rPr>
                <w:noProof/>
                <w:webHidden/>
              </w:rPr>
            </w:r>
            <w:r w:rsidR="00FC12F2">
              <w:rPr>
                <w:noProof/>
                <w:webHidden/>
              </w:rPr>
              <w:fldChar w:fldCharType="separate"/>
            </w:r>
            <w:r w:rsidR="00FC12F2">
              <w:rPr>
                <w:noProof/>
                <w:webHidden/>
              </w:rPr>
              <w:t>6</w:t>
            </w:r>
            <w:r w:rsidR="00FC12F2">
              <w:rPr>
                <w:noProof/>
                <w:webHidden/>
              </w:rPr>
              <w:fldChar w:fldCharType="end"/>
            </w:r>
          </w:hyperlink>
        </w:p>
        <w:p w14:paraId="3A248C9F" w14:textId="77777777" w:rsidR="00FC12F2" w:rsidRDefault="00BC4EFB">
          <w:pPr>
            <w:pStyle w:val="TOC2"/>
            <w:tabs>
              <w:tab w:val="right" w:leader="dot" w:pos="9350"/>
            </w:tabs>
            <w:rPr>
              <w:rFonts w:asciiTheme="minorHAnsi" w:eastAsiaTheme="minorEastAsia" w:hAnsiTheme="minorHAnsi"/>
              <w:noProof/>
              <w:szCs w:val="24"/>
            </w:rPr>
          </w:pPr>
          <w:hyperlink w:anchor="_Toc534793469" w:history="1">
            <w:r w:rsidR="00FC12F2" w:rsidRPr="008A418C">
              <w:rPr>
                <w:rStyle w:val="Hyperlink"/>
                <w:noProof/>
              </w:rPr>
              <w:t>Week 1 (Jan 10) Introduction and course overview</w:t>
            </w:r>
            <w:r w:rsidR="00FC12F2">
              <w:rPr>
                <w:noProof/>
                <w:webHidden/>
              </w:rPr>
              <w:tab/>
            </w:r>
            <w:r w:rsidR="00FC12F2">
              <w:rPr>
                <w:noProof/>
                <w:webHidden/>
              </w:rPr>
              <w:fldChar w:fldCharType="begin"/>
            </w:r>
            <w:r w:rsidR="00FC12F2">
              <w:rPr>
                <w:noProof/>
                <w:webHidden/>
              </w:rPr>
              <w:instrText xml:space="preserve"> PAGEREF _Toc534793469 \h </w:instrText>
            </w:r>
            <w:r w:rsidR="00FC12F2">
              <w:rPr>
                <w:noProof/>
                <w:webHidden/>
              </w:rPr>
            </w:r>
            <w:r w:rsidR="00FC12F2">
              <w:rPr>
                <w:noProof/>
                <w:webHidden/>
              </w:rPr>
              <w:fldChar w:fldCharType="separate"/>
            </w:r>
            <w:r w:rsidR="00FC12F2">
              <w:rPr>
                <w:noProof/>
                <w:webHidden/>
              </w:rPr>
              <w:t>6</w:t>
            </w:r>
            <w:r w:rsidR="00FC12F2">
              <w:rPr>
                <w:noProof/>
                <w:webHidden/>
              </w:rPr>
              <w:fldChar w:fldCharType="end"/>
            </w:r>
          </w:hyperlink>
        </w:p>
        <w:p w14:paraId="273372F9" w14:textId="77777777" w:rsidR="00FC12F2" w:rsidRDefault="00BC4EFB">
          <w:pPr>
            <w:pStyle w:val="TOC1"/>
            <w:tabs>
              <w:tab w:val="right" w:leader="dot" w:pos="9350"/>
            </w:tabs>
            <w:rPr>
              <w:rFonts w:asciiTheme="minorHAnsi" w:eastAsiaTheme="minorEastAsia" w:hAnsiTheme="minorHAnsi"/>
              <w:noProof/>
              <w:szCs w:val="24"/>
            </w:rPr>
          </w:pPr>
          <w:hyperlink w:anchor="_Toc534793470" w:history="1">
            <w:r w:rsidR="00FC12F2" w:rsidRPr="008A418C">
              <w:rPr>
                <w:rStyle w:val="Hyperlink"/>
                <w:noProof/>
              </w:rPr>
              <w:t>Module I: How does health policy work in Canada?</w:t>
            </w:r>
            <w:r w:rsidR="00FC12F2">
              <w:rPr>
                <w:noProof/>
                <w:webHidden/>
              </w:rPr>
              <w:tab/>
            </w:r>
            <w:r w:rsidR="00FC12F2">
              <w:rPr>
                <w:noProof/>
                <w:webHidden/>
              </w:rPr>
              <w:fldChar w:fldCharType="begin"/>
            </w:r>
            <w:r w:rsidR="00FC12F2">
              <w:rPr>
                <w:noProof/>
                <w:webHidden/>
              </w:rPr>
              <w:instrText xml:space="preserve"> PAGEREF _Toc534793470 \h </w:instrText>
            </w:r>
            <w:r w:rsidR="00FC12F2">
              <w:rPr>
                <w:noProof/>
                <w:webHidden/>
              </w:rPr>
            </w:r>
            <w:r w:rsidR="00FC12F2">
              <w:rPr>
                <w:noProof/>
                <w:webHidden/>
              </w:rPr>
              <w:fldChar w:fldCharType="separate"/>
            </w:r>
            <w:r w:rsidR="00FC12F2">
              <w:rPr>
                <w:noProof/>
                <w:webHidden/>
              </w:rPr>
              <w:t>6</w:t>
            </w:r>
            <w:r w:rsidR="00FC12F2">
              <w:rPr>
                <w:noProof/>
                <w:webHidden/>
              </w:rPr>
              <w:fldChar w:fldCharType="end"/>
            </w:r>
          </w:hyperlink>
        </w:p>
        <w:p w14:paraId="7BCE91AC" w14:textId="77777777" w:rsidR="00FC12F2" w:rsidRDefault="00BC4EFB">
          <w:pPr>
            <w:pStyle w:val="TOC2"/>
            <w:tabs>
              <w:tab w:val="right" w:leader="dot" w:pos="9350"/>
            </w:tabs>
            <w:rPr>
              <w:rFonts w:asciiTheme="minorHAnsi" w:eastAsiaTheme="minorEastAsia" w:hAnsiTheme="minorHAnsi"/>
              <w:noProof/>
              <w:szCs w:val="24"/>
            </w:rPr>
          </w:pPr>
          <w:hyperlink w:anchor="_Toc534793471" w:history="1">
            <w:r w:rsidR="00FC12F2" w:rsidRPr="008A418C">
              <w:rPr>
                <w:rStyle w:val="Hyperlink"/>
                <w:noProof/>
              </w:rPr>
              <w:t>Week 2 (Jan 17) Why health policy?</w:t>
            </w:r>
            <w:r w:rsidR="00FC12F2">
              <w:rPr>
                <w:noProof/>
                <w:webHidden/>
              </w:rPr>
              <w:tab/>
            </w:r>
            <w:r w:rsidR="00FC12F2">
              <w:rPr>
                <w:noProof/>
                <w:webHidden/>
              </w:rPr>
              <w:fldChar w:fldCharType="begin"/>
            </w:r>
            <w:r w:rsidR="00FC12F2">
              <w:rPr>
                <w:noProof/>
                <w:webHidden/>
              </w:rPr>
              <w:instrText xml:space="preserve"> PAGEREF _Toc534793471 \h </w:instrText>
            </w:r>
            <w:r w:rsidR="00FC12F2">
              <w:rPr>
                <w:noProof/>
                <w:webHidden/>
              </w:rPr>
            </w:r>
            <w:r w:rsidR="00FC12F2">
              <w:rPr>
                <w:noProof/>
                <w:webHidden/>
              </w:rPr>
              <w:fldChar w:fldCharType="separate"/>
            </w:r>
            <w:r w:rsidR="00FC12F2">
              <w:rPr>
                <w:noProof/>
                <w:webHidden/>
              </w:rPr>
              <w:t>6</w:t>
            </w:r>
            <w:r w:rsidR="00FC12F2">
              <w:rPr>
                <w:noProof/>
                <w:webHidden/>
              </w:rPr>
              <w:fldChar w:fldCharType="end"/>
            </w:r>
          </w:hyperlink>
        </w:p>
        <w:p w14:paraId="3EB75DCF" w14:textId="77777777" w:rsidR="00FC12F2" w:rsidRDefault="00BC4EFB">
          <w:pPr>
            <w:pStyle w:val="TOC2"/>
            <w:tabs>
              <w:tab w:val="right" w:leader="dot" w:pos="9350"/>
            </w:tabs>
            <w:rPr>
              <w:rFonts w:asciiTheme="minorHAnsi" w:eastAsiaTheme="minorEastAsia" w:hAnsiTheme="minorHAnsi"/>
              <w:noProof/>
              <w:szCs w:val="24"/>
            </w:rPr>
          </w:pPr>
          <w:hyperlink w:anchor="_Toc534793472" w:history="1">
            <w:r w:rsidR="00FC12F2" w:rsidRPr="008A418C">
              <w:rPr>
                <w:rStyle w:val="Hyperlink"/>
                <w:noProof/>
              </w:rPr>
              <w:t>Week 3 (Jan 24) Who pays for health care?</w:t>
            </w:r>
            <w:r w:rsidR="00FC12F2">
              <w:rPr>
                <w:noProof/>
                <w:webHidden/>
              </w:rPr>
              <w:tab/>
            </w:r>
            <w:r w:rsidR="00FC12F2">
              <w:rPr>
                <w:noProof/>
                <w:webHidden/>
              </w:rPr>
              <w:fldChar w:fldCharType="begin"/>
            </w:r>
            <w:r w:rsidR="00FC12F2">
              <w:rPr>
                <w:noProof/>
                <w:webHidden/>
              </w:rPr>
              <w:instrText xml:space="preserve"> PAGEREF _Toc534793472 \h </w:instrText>
            </w:r>
            <w:r w:rsidR="00FC12F2">
              <w:rPr>
                <w:noProof/>
                <w:webHidden/>
              </w:rPr>
            </w:r>
            <w:r w:rsidR="00FC12F2">
              <w:rPr>
                <w:noProof/>
                <w:webHidden/>
              </w:rPr>
              <w:fldChar w:fldCharType="separate"/>
            </w:r>
            <w:r w:rsidR="00FC12F2">
              <w:rPr>
                <w:noProof/>
                <w:webHidden/>
              </w:rPr>
              <w:t>6</w:t>
            </w:r>
            <w:r w:rsidR="00FC12F2">
              <w:rPr>
                <w:noProof/>
                <w:webHidden/>
              </w:rPr>
              <w:fldChar w:fldCharType="end"/>
            </w:r>
          </w:hyperlink>
        </w:p>
        <w:p w14:paraId="1B969E73" w14:textId="77777777" w:rsidR="00FC12F2" w:rsidRDefault="00BC4EFB">
          <w:pPr>
            <w:pStyle w:val="TOC2"/>
            <w:tabs>
              <w:tab w:val="right" w:leader="dot" w:pos="9350"/>
            </w:tabs>
            <w:rPr>
              <w:rFonts w:asciiTheme="minorHAnsi" w:eastAsiaTheme="minorEastAsia" w:hAnsiTheme="minorHAnsi"/>
              <w:noProof/>
              <w:szCs w:val="24"/>
            </w:rPr>
          </w:pPr>
          <w:hyperlink w:anchor="_Toc534793473" w:history="1">
            <w:r w:rsidR="00FC12F2" w:rsidRPr="008A418C">
              <w:rPr>
                <w:rStyle w:val="Hyperlink"/>
                <w:noProof/>
              </w:rPr>
              <w:t>Week 4 (Jan 31) Who makes decisions about health care? Federal and provincial governments</w:t>
            </w:r>
            <w:r w:rsidR="00FC12F2">
              <w:rPr>
                <w:noProof/>
                <w:webHidden/>
              </w:rPr>
              <w:tab/>
            </w:r>
            <w:r w:rsidR="00FC12F2">
              <w:rPr>
                <w:noProof/>
                <w:webHidden/>
              </w:rPr>
              <w:fldChar w:fldCharType="begin"/>
            </w:r>
            <w:r w:rsidR="00FC12F2">
              <w:rPr>
                <w:noProof/>
                <w:webHidden/>
              </w:rPr>
              <w:instrText xml:space="preserve"> PAGEREF _Toc534793473 \h </w:instrText>
            </w:r>
            <w:r w:rsidR="00FC12F2">
              <w:rPr>
                <w:noProof/>
                <w:webHidden/>
              </w:rPr>
            </w:r>
            <w:r w:rsidR="00FC12F2">
              <w:rPr>
                <w:noProof/>
                <w:webHidden/>
              </w:rPr>
              <w:fldChar w:fldCharType="separate"/>
            </w:r>
            <w:r w:rsidR="00FC12F2">
              <w:rPr>
                <w:noProof/>
                <w:webHidden/>
              </w:rPr>
              <w:t>7</w:t>
            </w:r>
            <w:r w:rsidR="00FC12F2">
              <w:rPr>
                <w:noProof/>
                <w:webHidden/>
              </w:rPr>
              <w:fldChar w:fldCharType="end"/>
            </w:r>
          </w:hyperlink>
        </w:p>
        <w:p w14:paraId="7C4969DB" w14:textId="77777777" w:rsidR="00FC12F2" w:rsidRDefault="00BC4EFB">
          <w:pPr>
            <w:pStyle w:val="TOC2"/>
            <w:tabs>
              <w:tab w:val="right" w:leader="dot" w:pos="9350"/>
            </w:tabs>
            <w:rPr>
              <w:rFonts w:asciiTheme="minorHAnsi" w:eastAsiaTheme="minorEastAsia" w:hAnsiTheme="minorHAnsi"/>
              <w:noProof/>
              <w:szCs w:val="24"/>
            </w:rPr>
          </w:pPr>
          <w:hyperlink w:anchor="_Toc534793474" w:history="1">
            <w:r w:rsidR="00FC12F2" w:rsidRPr="008A418C">
              <w:rPr>
                <w:rStyle w:val="Hyperlink"/>
                <w:noProof/>
              </w:rPr>
              <w:t>Week 5 (Feb 7) Who provides health care? the role of physicians and other health professionals</w:t>
            </w:r>
            <w:r w:rsidR="00FC12F2">
              <w:rPr>
                <w:noProof/>
                <w:webHidden/>
              </w:rPr>
              <w:tab/>
            </w:r>
            <w:r w:rsidR="00FC12F2">
              <w:rPr>
                <w:noProof/>
                <w:webHidden/>
              </w:rPr>
              <w:fldChar w:fldCharType="begin"/>
            </w:r>
            <w:r w:rsidR="00FC12F2">
              <w:rPr>
                <w:noProof/>
                <w:webHidden/>
              </w:rPr>
              <w:instrText xml:space="preserve"> PAGEREF _Toc534793474 \h </w:instrText>
            </w:r>
            <w:r w:rsidR="00FC12F2">
              <w:rPr>
                <w:noProof/>
                <w:webHidden/>
              </w:rPr>
            </w:r>
            <w:r w:rsidR="00FC12F2">
              <w:rPr>
                <w:noProof/>
                <w:webHidden/>
              </w:rPr>
              <w:fldChar w:fldCharType="separate"/>
            </w:r>
            <w:r w:rsidR="00FC12F2">
              <w:rPr>
                <w:noProof/>
                <w:webHidden/>
              </w:rPr>
              <w:t>7</w:t>
            </w:r>
            <w:r w:rsidR="00FC12F2">
              <w:rPr>
                <w:noProof/>
                <w:webHidden/>
              </w:rPr>
              <w:fldChar w:fldCharType="end"/>
            </w:r>
          </w:hyperlink>
        </w:p>
        <w:p w14:paraId="276EECB9" w14:textId="77777777" w:rsidR="00FC12F2" w:rsidRDefault="00BC4EFB">
          <w:pPr>
            <w:pStyle w:val="TOC2"/>
            <w:tabs>
              <w:tab w:val="right" w:leader="dot" w:pos="9350"/>
            </w:tabs>
            <w:rPr>
              <w:rFonts w:asciiTheme="minorHAnsi" w:eastAsiaTheme="minorEastAsia" w:hAnsiTheme="minorHAnsi"/>
              <w:noProof/>
              <w:szCs w:val="24"/>
            </w:rPr>
          </w:pPr>
          <w:hyperlink w:anchor="_Toc534793475" w:history="1">
            <w:r w:rsidR="00FC12F2" w:rsidRPr="008A418C">
              <w:rPr>
                <w:rStyle w:val="Hyperlink"/>
                <w:noProof/>
              </w:rPr>
              <w:t>Week 6 (Feb 14) Writing Workshop</w:t>
            </w:r>
            <w:r w:rsidR="00FC12F2">
              <w:rPr>
                <w:noProof/>
                <w:webHidden/>
              </w:rPr>
              <w:tab/>
            </w:r>
            <w:r w:rsidR="00FC12F2">
              <w:rPr>
                <w:noProof/>
                <w:webHidden/>
              </w:rPr>
              <w:fldChar w:fldCharType="begin"/>
            </w:r>
            <w:r w:rsidR="00FC12F2">
              <w:rPr>
                <w:noProof/>
                <w:webHidden/>
              </w:rPr>
              <w:instrText xml:space="preserve"> PAGEREF _Toc534793475 \h </w:instrText>
            </w:r>
            <w:r w:rsidR="00FC12F2">
              <w:rPr>
                <w:noProof/>
                <w:webHidden/>
              </w:rPr>
            </w:r>
            <w:r w:rsidR="00FC12F2">
              <w:rPr>
                <w:noProof/>
                <w:webHidden/>
              </w:rPr>
              <w:fldChar w:fldCharType="separate"/>
            </w:r>
            <w:r w:rsidR="00FC12F2">
              <w:rPr>
                <w:noProof/>
                <w:webHidden/>
              </w:rPr>
              <w:t>7</w:t>
            </w:r>
            <w:r w:rsidR="00FC12F2">
              <w:rPr>
                <w:noProof/>
                <w:webHidden/>
              </w:rPr>
              <w:fldChar w:fldCharType="end"/>
            </w:r>
          </w:hyperlink>
        </w:p>
        <w:p w14:paraId="657C39EA" w14:textId="77777777" w:rsidR="00FC12F2" w:rsidRDefault="00BC4EFB">
          <w:pPr>
            <w:pStyle w:val="TOC2"/>
            <w:tabs>
              <w:tab w:val="right" w:leader="dot" w:pos="9350"/>
            </w:tabs>
            <w:rPr>
              <w:rFonts w:asciiTheme="minorHAnsi" w:eastAsiaTheme="minorEastAsia" w:hAnsiTheme="minorHAnsi"/>
              <w:noProof/>
              <w:szCs w:val="24"/>
            </w:rPr>
          </w:pPr>
          <w:hyperlink w:anchor="_Toc534793476" w:history="1">
            <w:r w:rsidR="00FC12F2" w:rsidRPr="008A418C">
              <w:rPr>
                <w:rStyle w:val="Hyperlink"/>
                <w:noProof/>
              </w:rPr>
              <w:t>Winter Mid-Term Recess (Feb 21): NO CLASS</w:t>
            </w:r>
            <w:r w:rsidR="00FC12F2">
              <w:rPr>
                <w:noProof/>
                <w:webHidden/>
              </w:rPr>
              <w:tab/>
            </w:r>
            <w:r w:rsidR="00FC12F2">
              <w:rPr>
                <w:noProof/>
                <w:webHidden/>
              </w:rPr>
              <w:fldChar w:fldCharType="begin"/>
            </w:r>
            <w:r w:rsidR="00FC12F2">
              <w:rPr>
                <w:noProof/>
                <w:webHidden/>
              </w:rPr>
              <w:instrText xml:space="preserve"> PAGEREF _Toc534793476 \h </w:instrText>
            </w:r>
            <w:r w:rsidR="00FC12F2">
              <w:rPr>
                <w:noProof/>
                <w:webHidden/>
              </w:rPr>
            </w:r>
            <w:r w:rsidR="00FC12F2">
              <w:rPr>
                <w:noProof/>
                <w:webHidden/>
              </w:rPr>
              <w:fldChar w:fldCharType="separate"/>
            </w:r>
            <w:r w:rsidR="00FC12F2">
              <w:rPr>
                <w:noProof/>
                <w:webHidden/>
              </w:rPr>
              <w:t>8</w:t>
            </w:r>
            <w:r w:rsidR="00FC12F2">
              <w:rPr>
                <w:noProof/>
                <w:webHidden/>
              </w:rPr>
              <w:fldChar w:fldCharType="end"/>
            </w:r>
          </w:hyperlink>
        </w:p>
        <w:p w14:paraId="69C6B580" w14:textId="77777777" w:rsidR="00FC12F2" w:rsidRDefault="00BC4EFB">
          <w:pPr>
            <w:pStyle w:val="TOC1"/>
            <w:tabs>
              <w:tab w:val="right" w:leader="dot" w:pos="9350"/>
            </w:tabs>
            <w:rPr>
              <w:rFonts w:asciiTheme="minorHAnsi" w:eastAsiaTheme="minorEastAsia" w:hAnsiTheme="minorHAnsi"/>
              <w:noProof/>
              <w:szCs w:val="24"/>
            </w:rPr>
          </w:pPr>
          <w:hyperlink w:anchor="_Toc534793477" w:history="1">
            <w:r w:rsidR="00FC12F2" w:rsidRPr="008A418C">
              <w:rPr>
                <w:rStyle w:val="Hyperlink"/>
                <w:noProof/>
              </w:rPr>
              <w:t>Module II: Selected health policy problems</w:t>
            </w:r>
            <w:r w:rsidR="00FC12F2">
              <w:rPr>
                <w:noProof/>
                <w:webHidden/>
              </w:rPr>
              <w:tab/>
            </w:r>
            <w:r w:rsidR="00FC12F2">
              <w:rPr>
                <w:noProof/>
                <w:webHidden/>
              </w:rPr>
              <w:fldChar w:fldCharType="begin"/>
            </w:r>
            <w:r w:rsidR="00FC12F2">
              <w:rPr>
                <w:noProof/>
                <w:webHidden/>
              </w:rPr>
              <w:instrText xml:space="preserve"> PAGEREF _Toc534793477 \h </w:instrText>
            </w:r>
            <w:r w:rsidR="00FC12F2">
              <w:rPr>
                <w:noProof/>
                <w:webHidden/>
              </w:rPr>
            </w:r>
            <w:r w:rsidR="00FC12F2">
              <w:rPr>
                <w:noProof/>
                <w:webHidden/>
              </w:rPr>
              <w:fldChar w:fldCharType="separate"/>
            </w:r>
            <w:r w:rsidR="00FC12F2">
              <w:rPr>
                <w:noProof/>
                <w:webHidden/>
              </w:rPr>
              <w:t>8</w:t>
            </w:r>
            <w:r w:rsidR="00FC12F2">
              <w:rPr>
                <w:noProof/>
                <w:webHidden/>
              </w:rPr>
              <w:fldChar w:fldCharType="end"/>
            </w:r>
          </w:hyperlink>
        </w:p>
        <w:p w14:paraId="072DD422" w14:textId="77777777" w:rsidR="00FC12F2" w:rsidRDefault="00BC4EFB">
          <w:pPr>
            <w:pStyle w:val="TOC2"/>
            <w:tabs>
              <w:tab w:val="right" w:leader="dot" w:pos="9350"/>
            </w:tabs>
            <w:rPr>
              <w:rFonts w:asciiTheme="minorHAnsi" w:eastAsiaTheme="minorEastAsia" w:hAnsiTheme="minorHAnsi"/>
              <w:noProof/>
              <w:szCs w:val="24"/>
            </w:rPr>
          </w:pPr>
          <w:hyperlink w:anchor="_Toc534793478" w:history="1">
            <w:r w:rsidR="00FC12F2" w:rsidRPr="008A418C">
              <w:rPr>
                <w:rStyle w:val="Hyperlink"/>
                <w:noProof/>
              </w:rPr>
              <w:t>Week 7 (Feb 28) Barriers to access</w:t>
            </w:r>
            <w:r w:rsidR="00FC12F2">
              <w:rPr>
                <w:noProof/>
                <w:webHidden/>
              </w:rPr>
              <w:tab/>
            </w:r>
            <w:r w:rsidR="00FC12F2">
              <w:rPr>
                <w:noProof/>
                <w:webHidden/>
              </w:rPr>
              <w:fldChar w:fldCharType="begin"/>
            </w:r>
            <w:r w:rsidR="00FC12F2">
              <w:rPr>
                <w:noProof/>
                <w:webHidden/>
              </w:rPr>
              <w:instrText xml:space="preserve"> PAGEREF _Toc534793478 \h </w:instrText>
            </w:r>
            <w:r w:rsidR="00FC12F2">
              <w:rPr>
                <w:noProof/>
                <w:webHidden/>
              </w:rPr>
            </w:r>
            <w:r w:rsidR="00FC12F2">
              <w:rPr>
                <w:noProof/>
                <w:webHidden/>
              </w:rPr>
              <w:fldChar w:fldCharType="separate"/>
            </w:r>
            <w:r w:rsidR="00FC12F2">
              <w:rPr>
                <w:noProof/>
                <w:webHidden/>
              </w:rPr>
              <w:t>8</w:t>
            </w:r>
            <w:r w:rsidR="00FC12F2">
              <w:rPr>
                <w:noProof/>
                <w:webHidden/>
              </w:rPr>
              <w:fldChar w:fldCharType="end"/>
            </w:r>
          </w:hyperlink>
        </w:p>
        <w:p w14:paraId="042FCDA9" w14:textId="77777777" w:rsidR="00FC12F2" w:rsidRDefault="00BC4EFB">
          <w:pPr>
            <w:pStyle w:val="TOC2"/>
            <w:tabs>
              <w:tab w:val="right" w:leader="dot" w:pos="9350"/>
            </w:tabs>
            <w:rPr>
              <w:rFonts w:asciiTheme="minorHAnsi" w:eastAsiaTheme="minorEastAsia" w:hAnsiTheme="minorHAnsi"/>
              <w:noProof/>
              <w:szCs w:val="24"/>
            </w:rPr>
          </w:pPr>
          <w:hyperlink w:anchor="_Toc534793479" w:history="1">
            <w:r w:rsidR="00FC12F2" w:rsidRPr="008A418C">
              <w:rPr>
                <w:rStyle w:val="Hyperlink"/>
                <w:noProof/>
              </w:rPr>
              <w:t>Week 8 (Mar 7) Changing approaches to mental health services</w:t>
            </w:r>
            <w:r w:rsidR="00FC12F2">
              <w:rPr>
                <w:noProof/>
                <w:webHidden/>
              </w:rPr>
              <w:tab/>
            </w:r>
            <w:r w:rsidR="00FC12F2">
              <w:rPr>
                <w:noProof/>
                <w:webHidden/>
              </w:rPr>
              <w:fldChar w:fldCharType="begin"/>
            </w:r>
            <w:r w:rsidR="00FC12F2">
              <w:rPr>
                <w:noProof/>
                <w:webHidden/>
              </w:rPr>
              <w:instrText xml:space="preserve"> PAGEREF _Toc534793479 \h </w:instrText>
            </w:r>
            <w:r w:rsidR="00FC12F2">
              <w:rPr>
                <w:noProof/>
                <w:webHidden/>
              </w:rPr>
            </w:r>
            <w:r w:rsidR="00FC12F2">
              <w:rPr>
                <w:noProof/>
                <w:webHidden/>
              </w:rPr>
              <w:fldChar w:fldCharType="separate"/>
            </w:r>
            <w:r w:rsidR="00FC12F2">
              <w:rPr>
                <w:noProof/>
                <w:webHidden/>
              </w:rPr>
              <w:t>8</w:t>
            </w:r>
            <w:r w:rsidR="00FC12F2">
              <w:rPr>
                <w:noProof/>
                <w:webHidden/>
              </w:rPr>
              <w:fldChar w:fldCharType="end"/>
            </w:r>
          </w:hyperlink>
        </w:p>
        <w:p w14:paraId="38F16D70" w14:textId="77777777" w:rsidR="00FC12F2" w:rsidRDefault="00BC4EFB">
          <w:pPr>
            <w:pStyle w:val="TOC2"/>
            <w:tabs>
              <w:tab w:val="right" w:leader="dot" w:pos="9350"/>
            </w:tabs>
            <w:rPr>
              <w:rFonts w:asciiTheme="minorHAnsi" w:eastAsiaTheme="minorEastAsia" w:hAnsiTheme="minorHAnsi"/>
              <w:noProof/>
              <w:szCs w:val="24"/>
            </w:rPr>
          </w:pPr>
          <w:hyperlink w:anchor="_Toc534793480" w:history="1">
            <w:r w:rsidR="00FC12F2" w:rsidRPr="008A418C">
              <w:rPr>
                <w:rStyle w:val="Hyperlink"/>
                <w:noProof/>
              </w:rPr>
              <w:t>Week 9 (Mar 14) Pharmaceutical policy</w:t>
            </w:r>
            <w:r w:rsidR="00FC12F2">
              <w:rPr>
                <w:noProof/>
                <w:webHidden/>
              </w:rPr>
              <w:tab/>
            </w:r>
            <w:r w:rsidR="00FC12F2">
              <w:rPr>
                <w:noProof/>
                <w:webHidden/>
              </w:rPr>
              <w:fldChar w:fldCharType="begin"/>
            </w:r>
            <w:r w:rsidR="00FC12F2">
              <w:rPr>
                <w:noProof/>
                <w:webHidden/>
              </w:rPr>
              <w:instrText xml:space="preserve"> PAGEREF _Toc534793480 \h </w:instrText>
            </w:r>
            <w:r w:rsidR="00FC12F2">
              <w:rPr>
                <w:noProof/>
                <w:webHidden/>
              </w:rPr>
            </w:r>
            <w:r w:rsidR="00FC12F2">
              <w:rPr>
                <w:noProof/>
                <w:webHidden/>
              </w:rPr>
              <w:fldChar w:fldCharType="separate"/>
            </w:r>
            <w:r w:rsidR="00FC12F2">
              <w:rPr>
                <w:noProof/>
                <w:webHidden/>
              </w:rPr>
              <w:t>8</w:t>
            </w:r>
            <w:r w:rsidR="00FC12F2">
              <w:rPr>
                <w:noProof/>
                <w:webHidden/>
              </w:rPr>
              <w:fldChar w:fldCharType="end"/>
            </w:r>
          </w:hyperlink>
        </w:p>
        <w:p w14:paraId="21003F80" w14:textId="77777777" w:rsidR="00FC12F2" w:rsidRDefault="00BC4EFB">
          <w:pPr>
            <w:pStyle w:val="TOC1"/>
            <w:tabs>
              <w:tab w:val="right" w:leader="dot" w:pos="9350"/>
            </w:tabs>
            <w:rPr>
              <w:rFonts w:asciiTheme="minorHAnsi" w:eastAsiaTheme="minorEastAsia" w:hAnsiTheme="minorHAnsi"/>
              <w:noProof/>
              <w:szCs w:val="24"/>
            </w:rPr>
          </w:pPr>
          <w:hyperlink w:anchor="_Toc534793481" w:history="1">
            <w:r w:rsidR="00FC12F2" w:rsidRPr="008A418C">
              <w:rPr>
                <w:rStyle w:val="Hyperlink"/>
                <w:noProof/>
              </w:rPr>
              <w:t>Module III: Health system comparisons</w:t>
            </w:r>
            <w:r w:rsidR="00FC12F2">
              <w:rPr>
                <w:noProof/>
                <w:webHidden/>
              </w:rPr>
              <w:tab/>
            </w:r>
            <w:r w:rsidR="00FC12F2">
              <w:rPr>
                <w:noProof/>
                <w:webHidden/>
              </w:rPr>
              <w:fldChar w:fldCharType="begin"/>
            </w:r>
            <w:r w:rsidR="00FC12F2">
              <w:rPr>
                <w:noProof/>
                <w:webHidden/>
              </w:rPr>
              <w:instrText xml:space="preserve"> PAGEREF _Toc534793481 \h </w:instrText>
            </w:r>
            <w:r w:rsidR="00FC12F2">
              <w:rPr>
                <w:noProof/>
                <w:webHidden/>
              </w:rPr>
            </w:r>
            <w:r w:rsidR="00FC12F2">
              <w:rPr>
                <w:noProof/>
                <w:webHidden/>
              </w:rPr>
              <w:fldChar w:fldCharType="separate"/>
            </w:r>
            <w:r w:rsidR="00FC12F2">
              <w:rPr>
                <w:noProof/>
                <w:webHidden/>
              </w:rPr>
              <w:t>9</w:t>
            </w:r>
            <w:r w:rsidR="00FC12F2">
              <w:rPr>
                <w:noProof/>
                <w:webHidden/>
              </w:rPr>
              <w:fldChar w:fldCharType="end"/>
            </w:r>
          </w:hyperlink>
        </w:p>
        <w:p w14:paraId="2190D4DD" w14:textId="77777777" w:rsidR="00FC12F2" w:rsidRDefault="00BC4EFB">
          <w:pPr>
            <w:pStyle w:val="TOC2"/>
            <w:tabs>
              <w:tab w:val="right" w:leader="dot" w:pos="9350"/>
            </w:tabs>
            <w:rPr>
              <w:rFonts w:asciiTheme="minorHAnsi" w:eastAsiaTheme="minorEastAsia" w:hAnsiTheme="minorHAnsi"/>
              <w:noProof/>
              <w:szCs w:val="24"/>
            </w:rPr>
          </w:pPr>
          <w:hyperlink w:anchor="_Toc534793482" w:history="1">
            <w:r w:rsidR="00FC12F2" w:rsidRPr="008A418C">
              <w:rPr>
                <w:rStyle w:val="Hyperlink"/>
                <w:noProof/>
              </w:rPr>
              <w:t>Week 10 (Mar 21) National Health Services - UK</w:t>
            </w:r>
            <w:r w:rsidR="00FC12F2">
              <w:rPr>
                <w:noProof/>
                <w:webHidden/>
              </w:rPr>
              <w:tab/>
            </w:r>
            <w:r w:rsidR="00FC12F2">
              <w:rPr>
                <w:noProof/>
                <w:webHidden/>
              </w:rPr>
              <w:fldChar w:fldCharType="begin"/>
            </w:r>
            <w:r w:rsidR="00FC12F2">
              <w:rPr>
                <w:noProof/>
                <w:webHidden/>
              </w:rPr>
              <w:instrText xml:space="preserve"> PAGEREF _Toc534793482 \h </w:instrText>
            </w:r>
            <w:r w:rsidR="00FC12F2">
              <w:rPr>
                <w:noProof/>
                <w:webHidden/>
              </w:rPr>
            </w:r>
            <w:r w:rsidR="00FC12F2">
              <w:rPr>
                <w:noProof/>
                <w:webHidden/>
              </w:rPr>
              <w:fldChar w:fldCharType="separate"/>
            </w:r>
            <w:r w:rsidR="00FC12F2">
              <w:rPr>
                <w:noProof/>
                <w:webHidden/>
              </w:rPr>
              <w:t>9</w:t>
            </w:r>
            <w:r w:rsidR="00FC12F2">
              <w:rPr>
                <w:noProof/>
                <w:webHidden/>
              </w:rPr>
              <w:fldChar w:fldCharType="end"/>
            </w:r>
          </w:hyperlink>
        </w:p>
        <w:p w14:paraId="4C42E113" w14:textId="77777777" w:rsidR="00FC12F2" w:rsidRDefault="00BC4EFB">
          <w:pPr>
            <w:pStyle w:val="TOC2"/>
            <w:tabs>
              <w:tab w:val="right" w:leader="dot" w:pos="9350"/>
            </w:tabs>
            <w:rPr>
              <w:rFonts w:asciiTheme="minorHAnsi" w:eastAsiaTheme="minorEastAsia" w:hAnsiTheme="minorHAnsi"/>
              <w:noProof/>
              <w:szCs w:val="24"/>
            </w:rPr>
          </w:pPr>
          <w:hyperlink w:anchor="_Toc534793483" w:history="1">
            <w:r w:rsidR="00FC12F2" w:rsidRPr="008A418C">
              <w:rPr>
                <w:rStyle w:val="Hyperlink"/>
                <w:noProof/>
              </w:rPr>
              <w:t>Week 11 (Mar 28) Market model? The special case of the US</w:t>
            </w:r>
            <w:r w:rsidR="00FC12F2">
              <w:rPr>
                <w:noProof/>
                <w:webHidden/>
              </w:rPr>
              <w:tab/>
            </w:r>
            <w:r w:rsidR="00FC12F2">
              <w:rPr>
                <w:noProof/>
                <w:webHidden/>
              </w:rPr>
              <w:fldChar w:fldCharType="begin"/>
            </w:r>
            <w:r w:rsidR="00FC12F2">
              <w:rPr>
                <w:noProof/>
                <w:webHidden/>
              </w:rPr>
              <w:instrText xml:space="preserve"> PAGEREF _Toc534793483 \h </w:instrText>
            </w:r>
            <w:r w:rsidR="00FC12F2">
              <w:rPr>
                <w:noProof/>
                <w:webHidden/>
              </w:rPr>
            </w:r>
            <w:r w:rsidR="00FC12F2">
              <w:rPr>
                <w:noProof/>
                <w:webHidden/>
              </w:rPr>
              <w:fldChar w:fldCharType="separate"/>
            </w:r>
            <w:r w:rsidR="00FC12F2">
              <w:rPr>
                <w:noProof/>
                <w:webHidden/>
              </w:rPr>
              <w:t>9</w:t>
            </w:r>
            <w:r w:rsidR="00FC12F2">
              <w:rPr>
                <w:noProof/>
                <w:webHidden/>
              </w:rPr>
              <w:fldChar w:fldCharType="end"/>
            </w:r>
          </w:hyperlink>
        </w:p>
        <w:p w14:paraId="3CC177FC" w14:textId="77777777" w:rsidR="00FC12F2" w:rsidRDefault="00BC4EFB">
          <w:pPr>
            <w:pStyle w:val="TOC2"/>
            <w:tabs>
              <w:tab w:val="right" w:leader="dot" w:pos="9350"/>
            </w:tabs>
            <w:rPr>
              <w:rFonts w:asciiTheme="minorHAnsi" w:eastAsiaTheme="minorEastAsia" w:hAnsiTheme="minorHAnsi"/>
              <w:noProof/>
              <w:szCs w:val="24"/>
            </w:rPr>
          </w:pPr>
          <w:hyperlink w:anchor="_Toc534793484" w:history="1">
            <w:r w:rsidR="00FC12F2" w:rsidRPr="008A418C">
              <w:rPr>
                <w:rStyle w:val="Hyperlink"/>
                <w:noProof/>
              </w:rPr>
              <w:t>Week 12 (Apr 4) Research presentations</w:t>
            </w:r>
            <w:r w:rsidR="00FC12F2">
              <w:rPr>
                <w:noProof/>
                <w:webHidden/>
              </w:rPr>
              <w:tab/>
            </w:r>
            <w:r w:rsidR="00FC12F2">
              <w:rPr>
                <w:noProof/>
                <w:webHidden/>
              </w:rPr>
              <w:fldChar w:fldCharType="begin"/>
            </w:r>
            <w:r w:rsidR="00FC12F2">
              <w:rPr>
                <w:noProof/>
                <w:webHidden/>
              </w:rPr>
              <w:instrText xml:space="preserve"> PAGEREF _Toc534793484 \h </w:instrText>
            </w:r>
            <w:r w:rsidR="00FC12F2">
              <w:rPr>
                <w:noProof/>
                <w:webHidden/>
              </w:rPr>
            </w:r>
            <w:r w:rsidR="00FC12F2">
              <w:rPr>
                <w:noProof/>
                <w:webHidden/>
              </w:rPr>
              <w:fldChar w:fldCharType="separate"/>
            </w:r>
            <w:r w:rsidR="00FC12F2">
              <w:rPr>
                <w:noProof/>
                <w:webHidden/>
              </w:rPr>
              <w:t>9</w:t>
            </w:r>
            <w:r w:rsidR="00FC12F2">
              <w:rPr>
                <w:noProof/>
                <w:webHidden/>
              </w:rPr>
              <w:fldChar w:fldCharType="end"/>
            </w:r>
          </w:hyperlink>
        </w:p>
        <w:p w14:paraId="6524CF78" w14:textId="77777777" w:rsidR="00FC12F2" w:rsidRDefault="00BC4EFB">
          <w:pPr>
            <w:pStyle w:val="TOC2"/>
            <w:tabs>
              <w:tab w:val="right" w:leader="dot" w:pos="9350"/>
            </w:tabs>
            <w:rPr>
              <w:rFonts w:asciiTheme="minorHAnsi" w:eastAsiaTheme="minorEastAsia" w:hAnsiTheme="minorHAnsi"/>
              <w:noProof/>
              <w:szCs w:val="24"/>
            </w:rPr>
          </w:pPr>
          <w:hyperlink w:anchor="_Toc534793485" w:history="1">
            <w:r w:rsidR="00FC12F2" w:rsidRPr="008A418C">
              <w:rPr>
                <w:rStyle w:val="Hyperlink"/>
                <w:noProof/>
              </w:rPr>
              <w:t>April 7: Decision note due by 11.59pm, by email</w:t>
            </w:r>
            <w:r w:rsidR="00FC12F2">
              <w:rPr>
                <w:noProof/>
                <w:webHidden/>
              </w:rPr>
              <w:tab/>
            </w:r>
            <w:r w:rsidR="00FC12F2">
              <w:rPr>
                <w:noProof/>
                <w:webHidden/>
              </w:rPr>
              <w:fldChar w:fldCharType="begin"/>
            </w:r>
            <w:r w:rsidR="00FC12F2">
              <w:rPr>
                <w:noProof/>
                <w:webHidden/>
              </w:rPr>
              <w:instrText xml:space="preserve"> PAGEREF _Toc534793485 \h </w:instrText>
            </w:r>
            <w:r w:rsidR="00FC12F2">
              <w:rPr>
                <w:noProof/>
                <w:webHidden/>
              </w:rPr>
            </w:r>
            <w:r w:rsidR="00FC12F2">
              <w:rPr>
                <w:noProof/>
                <w:webHidden/>
              </w:rPr>
              <w:fldChar w:fldCharType="separate"/>
            </w:r>
            <w:r w:rsidR="00FC12F2">
              <w:rPr>
                <w:noProof/>
                <w:webHidden/>
              </w:rPr>
              <w:t>10</w:t>
            </w:r>
            <w:r w:rsidR="00FC12F2">
              <w:rPr>
                <w:noProof/>
                <w:webHidden/>
              </w:rPr>
              <w:fldChar w:fldCharType="end"/>
            </w:r>
          </w:hyperlink>
        </w:p>
        <w:p w14:paraId="50380F07" w14:textId="77777777" w:rsidR="00FC12F2" w:rsidRDefault="00BC4EFB">
          <w:pPr>
            <w:pStyle w:val="TOC1"/>
            <w:tabs>
              <w:tab w:val="right" w:leader="dot" w:pos="9350"/>
            </w:tabs>
            <w:rPr>
              <w:rFonts w:asciiTheme="minorHAnsi" w:eastAsiaTheme="minorEastAsia" w:hAnsiTheme="minorHAnsi"/>
              <w:noProof/>
              <w:szCs w:val="24"/>
            </w:rPr>
          </w:pPr>
          <w:hyperlink w:anchor="_Toc534793486" w:history="1">
            <w:r w:rsidR="00FC12F2" w:rsidRPr="008A418C">
              <w:rPr>
                <w:rStyle w:val="Hyperlink"/>
                <w:noProof/>
              </w:rPr>
              <w:t>Course Policies</w:t>
            </w:r>
            <w:r w:rsidR="00FC12F2">
              <w:rPr>
                <w:noProof/>
                <w:webHidden/>
              </w:rPr>
              <w:tab/>
            </w:r>
            <w:r w:rsidR="00FC12F2">
              <w:rPr>
                <w:noProof/>
                <w:webHidden/>
              </w:rPr>
              <w:fldChar w:fldCharType="begin"/>
            </w:r>
            <w:r w:rsidR="00FC12F2">
              <w:rPr>
                <w:noProof/>
                <w:webHidden/>
              </w:rPr>
              <w:instrText xml:space="preserve"> PAGEREF _Toc534793486 \h </w:instrText>
            </w:r>
            <w:r w:rsidR="00FC12F2">
              <w:rPr>
                <w:noProof/>
                <w:webHidden/>
              </w:rPr>
            </w:r>
            <w:r w:rsidR="00FC12F2">
              <w:rPr>
                <w:noProof/>
                <w:webHidden/>
              </w:rPr>
              <w:fldChar w:fldCharType="separate"/>
            </w:r>
            <w:r w:rsidR="00FC12F2">
              <w:rPr>
                <w:noProof/>
                <w:webHidden/>
              </w:rPr>
              <w:t>10</w:t>
            </w:r>
            <w:r w:rsidR="00FC12F2">
              <w:rPr>
                <w:noProof/>
                <w:webHidden/>
              </w:rPr>
              <w:fldChar w:fldCharType="end"/>
            </w:r>
          </w:hyperlink>
        </w:p>
        <w:p w14:paraId="11A5509E" w14:textId="77777777" w:rsidR="00FC12F2" w:rsidRDefault="00BC4EFB">
          <w:pPr>
            <w:pStyle w:val="TOC2"/>
            <w:tabs>
              <w:tab w:val="right" w:leader="dot" w:pos="9350"/>
            </w:tabs>
            <w:rPr>
              <w:rFonts w:asciiTheme="minorHAnsi" w:eastAsiaTheme="minorEastAsia" w:hAnsiTheme="minorHAnsi"/>
              <w:noProof/>
              <w:szCs w:val="24"/>
            </w:rPr>
          </w:pPr>
          <w:hyperlink w:anchor="_Toc534793487" w:history="1">
            <w:r w:rsidR="00FC12F2" w:rsidRPr="008A418C">
              <w:rPr>
                <w:rStyle w:val="Hyperlink"/>
                <w:noProof/>
              </w:rPr>
              <w:t>Submission of Assignments</w:t>
            </w:r>
            <w:r w:rsidR="00FC12F2">
              <w:rPr>
                <w:noProof/>
                <w:webHidden/>
              </w:rPr>
              <w:tab/>
            </w:r>
            <w:r w:rsidR="00FC12F2">
              <w:rPr>
                <w:noProof/>
                <w:webHidden/>
              </w:rPr>
              <w:fldChar w:fldCharType="begin"/>
            </w:r>
            <w:r w:rsidR="00FC12F2">
              <w:rPr>
                <w:noProof/>
                <w:webHidden/>
              </w:rPr>
              <w:instrText xml:space="preserve"> PAGEREF _Toc534793487 \h </w:instrText>
            </w:r>
            <w:r w:rsidR="00FC12F2">
              <w:rPr>
                <w:noProof/>
                <w:webHidden/>
              </w:rPr>
            </w:r>
            <w:r w:rsidR="00FC12F2">
              <w:rPr>
                <w:noProof/>
                <w:webHidden/>
              </w:rPr>
              <w:fldChar w:fldCharType="separate"/>
            </w:r>
            <w:r w:rsidR="00FC12F2">
              <w:rPr>
                <w:noProof/>
                <w:webHidden/>
              </w:rPr>
              <w:t>10</w:t>
            </w:r>
            <w:r w:rsidR="00FC12F2">
              <w:rPr>
                <w:noProof/>
                <w:webHidden/>
              </w:rPr>
              <w:fldChar w:fldCharType="end"/>
            </w:r>
          </w:hyperlink>
        </w:p>
        <w:p w14:paraId="0E128568" w14:textId="77777777" w:rsidR="00FC12F2" w:rsidRDefault="00BC4EFB">
          <w:pPr>
            <w:pStyle w:val="TOC2"/>
            <w:tabs>
              <w:tab w:val="right" w:leader="dot" w:pos="9350"/>
            </w:tabs>
            <w:rPr>
              <w:rFonts w:asciiTheme="minorHAnsi" w:eastAsiaTheme="minorEastAsia" w:hAnsiTheme="minorHAnsi"/>
              <w:noProof/>
              <w:szCs w:val="24"/>
            </w:rPr>
          </w:pPr>
          <w:hyperlink w:anchor="_Toc534793488" w:history="1">
            <w:r w:rsidR="00FC12F2" w:rsidRPr="008A418C">
              <w:rPr>
                <w:rStyle w:val="Hyperlink"/>
                <w:noProof/>
              </w:rPr>
              <w:t>Grades</w:t>
            </w:r>
            <w:r w:rsidR="00FC12F2">
              <w:rPr>
                <w:noProof/>
                <w:webHidden/>
              </w:rPr>
              <w:tab/>
            </w:r>
            <w:r w:rsidR="00FC12F2">
              <w:rPr>
                <w:noProof/>
                <w:webHidden/>
              </w:rPr>
              <w:fldChar w:fldCharType="begin"/>
            </w:r>
            <w:r w:rsidR="00FC12F2">
              <w:rPr>
                <w:noProof/>
                <w:webHidden/>
              </w:rPr>
              <w:instrText xml:space="preserve"> PAGEREF _Toc534793488 \h </w:instrText>
            </w:r>
            <w:r w:rsidR="00FC12F2">
              <w:rPr>
                <w:noProof/>
                <w:webHidden/>
              </w:rPr>
            </w:r>
            <w:r w:rsidR="00FC12F2">
              <w:rPr>
                <w:noProof/>
                <w:webHidden/>
              </w:rPr>
              <w:fldChar w:fldCharType="separate"/>
            </w:r>
            <w:r w:rsidR="00FC12F2">
              <w:rPr>
                <w:noProof/>
                <w:webHidden/>
              </w:rPr>
              <w:t>10</w:t>
            </w:r>
            <w:r w:rsidR="00FC12F2">
              <w:rPr>
                <w:noProof/>
                <w:webHidden/>
              </w:rPr>
              <w:fldChar w:fldCharType="end"/>
            </w:r>
          </w:hyperlink>
        </w:p>
        <w:p w14:paraId="7794AF9C" w14:textId="77777777" w:rsidR="00FC12F2" w:rsidRDefault="00BC4EFB">
          <w:pPr>
            <w:pStyle w:val="TOC2"/>
            <w:tabs>
              <w:tab w:val="right" w:leader="dot" w:pos="9350"/>
            </w:tabs>
            <w:rPr>
              <w:rFonts w:asciiTheme="minorHAnsi" w:eastAsiaTheme="minorEastAsia" w:hAnsiTheme="minorHAnsi"/>
              <w:noProof/>
              <w:szCs w:val="24"/>
            </w:rPr>
          </w:pPr>
          <w:hyperlink w:anchor="_Toc534793489" w:history="1">
            <w:r w:rsidR="00FC12F2" w:rsidRPr="008A418C">
              <w:rPr>
                <w:rStyle w:val="Hyperlink"/>
                <w:noProof/>
              </w:rPr>
              <w:t>Late Assignments</w:t>
            </w:r>
            <w:r w:rsidR="00FC12F2">
              <w:rPr>
                <w:noProof/>
                <w:webHidden/>
              </w:rPr>
              <w:tab/>
            </w:r>
            <w:r w:rsidR="00FC12F2">
              <w:rPr>
                <w:noProof/>
                <w:webHidden/>
              </w:rPr>
              <w:fldChar w:fldCharType="begin"/>
            </w:r>
            <w:r w:rsidR="00FC12F2">
              <w:rPr>
                <w:noProof/>
                <w:webHidden/>
              </w:rPr>
              <w:instrText xml:space="preserve"> PAGEREF _Toc534793489 \h </w:instrText>
            </w:r>
            <w:r w:rsidR="00FC12F2">
              <w:rPr>
                <w:noProof/>
                <w:webHidden/>
              </w:rPr>
            </w:r>
            <w:r w:rsidR="00FC12F2">
              <w:rPr>
                <w:noProof/>
                <w:webHidden/>
              </w:rPr>
              <w:fldChar w:fldCharType="separate"/>
            </w:r>
            <w:r w:rsidR="00FC12F2">
              <w:rPr>
                <w:noProof/>
                <w:webHidden/>
              </w:rPr>
              <w:t>10</w:t>
            </w:r>
            <w:r w:rsidR="00FC12F2">
              <w:rPr>
                <w:noProof/>
                <w:webHidden/>
              </w:rPr>
              <w:fldChar w:fldCharType="end"/>
            </w:r>
          </w:hyperlink>
        </w:p>
        <w:p w14:paraId="1E21E2CB" w14:textId="77777777" w:rsidR="00FC12F2" w:rsidRDefault="00BC4EFB">
          <w:pPr>
            <w:pStyle w:val="TOC2"/>
            <w:tabs>
              <w:tab w:val="right" w:leader="dot" w:pos="9350"/>
            </w:tabs>
            <w:rPr>
              <w:rFonts w:asciiTheme="minorHAnsi" w:eastAsiaTheme="minorEastAsia" w:hAnsiTheme="minorHAnsi"/>
              <w:noProof/>
              <w:szCs w:val="24"/>
            </w:rPr>
          </w:pPr>
          <w:hyperlink w:anchor="_Toc534793490" w:history="1">
            <w:r w:rsidR="00FC12F2" w:rsidRPr="008A418C">
              <w:rPr>
                <w:rStyle w:val="Hyperlink"/>
                <w:noProof/>
              </w:rPr>
              <w:t>Absences, Missed Work, Illness</w:t>
            </w:r>
            <w:r w:rsidR="00FC12F2">
              <w:rPr>
                <w:noProof/>
                <w:webHidden/>
              </w:rPr>
              <w:tab/>
            </w:r>
            <w:r w:rsidR="00FC12F2">
              <w:rPr>
                <w:noProof/>
                <w:webHidden/>
              </w:rPr>
              <w:fldChar w:fldCharType="begin"/>
            </w:r>
            <w:r w:rsidR="00FC12F2">
              <w:rPr>
                <w:noProof/>
                <w:webHidden/>
              </w:rPr>
              <w:instrText xml:space="preserve"> PAGEREF _Toc534793490 \h </w:instrText>
            </w:r>
            <w:r w:rsidR="00FC12F2">
              <w:rPr>
                <w:noProof/>
                <w:webHidden/>
              </w:rPr>
            </w:r>
            <w:r w:rsidR="00FC12F2">
              <w:rPr>
                <w:noProof/>
                <w:webHidden/>
              </w:rPr>
              <w:fldChar w:fldCharType="separate"/>
            </w:r>
            <w:r w:rsidR="00FC12F2">
              <w:rPr>
                <w:noProof/>
                <w:webHidden/>
              </w:rPr>
              <w:t>11</w:t>
            </w:r>
            <w:r w:rsidR="00FC12F2">
              <w:rPr>
                <w:noProof/>
                <w:webHidden/>
              </w:rPr>
              <w:fldChar w:fldCharType="end"/>
            </w:r>
          </w:hyperlink>
        </w:p>
        <w:p w14:paraId="1506479C" w14:textId="77777777" w:rsidR="00FC12F2" w:rsidRDefault="00BC4EFB">
          <w:pPr>
            <w:pStyle w:val="TOC2"/>
            <w:tabs>
              <w:tab w:val="right" w:leader="dot" w:pos="9350"/>
            </w:tabs>
            <w:rPr>
              <w:rFonts w:asciiTheme="minorHAnsi" w:eastAsiaTheme="minorEastAsia" w:hAnsiTheme="minorHAnsi"/>
              <w:noProof/>
              <w:szCs w:val="24"/>
            </w:rPr>
          </w:pPr>
          <w:hyperlink w:anchor="_Toc534793491" w:history="1">
            <w:r w:rsidR="00FC12F2" w:rsidRPr="008A418C">
              <w:rPr>
                <w:rStyle w:val="Hyperlink"/>
                <w:noProof/>
              </w:rPr>
              <w:t>Avenue to Learn</w:t>
            </w:r>
            <w:r w:rsidR="00FC12F2">
              <w:rPr>
                <w:noProof/>
                <w:webHidden/>
              </w:rPr>
              <w:tab/>
            </w:r>
            <w:r w:rsidR="00FC12F2">
              <w:rPr>
                <w:noProof/>
                <w:webHidden/>
              </w:rPr>
              <w:fldChar w:fldCharType="begin"/>
            </w:r>
            <w:r w:rsidR="00FC12F2">
              <w:rPr>
                <w:noProof/>
                <w:webHidden/>
              </w:rPr>
              <w:instrText xml:space="preserve"> PAGEREF _Toc534793491 \h </w:instrText>
            </w:r>
            <w:r w:rsidR="00FC12F2">
              <w:rPr>
                <w:noProof/>
                <w:webHidden/>
              </w:rPr>
            </w:r>
            <w:r w:rsidR="00FC12F2">
              <w:rPr>
                <w:noProof/>
                <w:webHidden/>
              </w:rPr>
              <w:fldChar w:fldCharType="separate"/>
            </w:r>
            <w:r w:rsidR="00FC12F2">
              <w:rPr>
                <w:noProof/>
                <w:webHidden/>
              </w:rPr>
              <w:t>11</w:t>
            </w:r>
            <w:r w:rsidR="00FC12F2">
              <w:rPr>
                <w:noProof/>
                <w:webHidden/>
              </w:rPr>
              <w:fldChar w:fldCharType="end"/>
            </w:r>
          </w:hyperlink>
        </w:p>
        <w:p w14:paraId="2CF5F88D" w14:textId="77777777" w:rsidR="00FC12F2" w:rsidRDefault="00BC4EFB">
          <w:pPr>
            <w:pStyle w:val="TOC2"/>
            <w:tabs>
              <w:tab w:val="right" w:leader="dot" w:pos="9350"/>
            </w:tabs>
            <w:rPr>
              <w:rFonts w:asciiTheme="minorHAnsi" w:eastAsiaTheme="minorEastAsia" w:hAnsiTheme="minorHAnsi"/>
              <w:noProof/>
              <w:szCs w:val="24"/>
            </w:rPr>
          </w:pPr>
          <w:hyperlink w:anchor="_Toc534793492" w:history="1">
            <w:r w:rsidR="00FC12F2" w:rsidRPr="008A418C">
              <w:rPr>
                <w:rStyle w:val="Hyperlink"/>
                <w:rFonts w:cs="Arial"/>
                <w:noProof/>
              </w:rPr>
              <w:t>Policy on Children in Class</w:t>
            </w:r>
            <w:r w:rsidR="00FC12F2">
              <w:rPr>
                <w:noProof/>
                <w:webHidden/>
              </w:rPr>
              <w:tab/>
            </w:r>
            <w:r w:rsidR="00FC12F2">
              <w:rPr>
                <w:noProof/>
                <w:webHidden/>
              </w:rPr>
              <w:fldChar w:fldCharType="begin"/>
            </w:r>
            <w:r w:rsidR="00FC12F2">
              <w:rPr>
                <w:noProof/>
                <w:webHidden/>
              </w:rPr>
              <w:instrText xml:space="preserve"> PAGEREF _Toc534793492 \h </w:instrText>
            </w:r>
            <w:r w:rsidR="00FC12F2">
              <w:rPr>
                <w:noProof/>
                <w:webHidden/>
              </w:rPr>
            </w:r>
            <w:r w:rsidR="00FC12F2">
              <w:rPr>
                <w:noProof/>
                <w:webHidden/>
              </w:rPr>
              <w:fldChar w:fldCharType="separate"/>
            </w:r>
            <w:r w:rsidR="00FC12F2">
              <w:rPr>
                <w:noProof/>
                <w:webHidden/>
              </w:rPr>
              <w:t>11</w:t>
            </w:r>
            <w:r w:rsidR="00FC12F2">
              <w:rPr>
                <w:noProof/>
                <w:webHidden/>
              </w:rPr>
              <w:fldChar w:fldCharType="end"/>
            </w:r>
          </w:hyperlink>
        </w:p>
        <w:p w14:paraId="734CFAA2" w14:textId="77777777" w:rsidR="00FC12F2" w:rsidRDefault="00BC4EFB">
          <w:pPr>
            <w:pStyle w:val="TOC1"/>
            <w:tabs>
              <w:tab w:val="right" w:leader="dot" w:pos="9350"/>
            </w:tabs>
            <w:rPr>
              <w:rFonts w:asciiTheme="minorHAnsi" w:eastAsiaTheme="minorEastAsia" w:hAnsiTheme="minorHAnsi"/>
              <w:noProof/>
              <w:szCs w:val="24"/>
            </w:rPr>
          </w:pPr>
          <w:hyperlink w:anchor="_Toc534793493" w:history="1">
            <w:r w:rsidR="00FC12F2" w:rsidRPr="008A418C">
              <w:rPr>
                <w:rStyle w:val="Hyperlink"/>
                <w:noProof/>
              </w:rPr>
              <w:t>University Policies</w:t>
            </w:r>
            <w:r w:rsidR="00FC12F2">
              <w:rPr>
                <w:noProof/>
                <w:webHidden/>
              </w:rPr>
              <w:tab/>
            </w:r>
            <w:r w:rsidR="00FC12F2">
              <w:rPr>
                <w:noProof/>
                <w:webHidden/>
              </w:rPr>
              <w:fldChar w:fldCharType="begin"/>
            </w:r>
            <w:r w:rsidR="00FC12F2">
              <w:rPr>
                <w:noProof/>
                <w:webHidden/>
              </w:rPr>
              <w:instrText xml:space="preserve"> PAGEREF _Toc534793493 \h </w:instrText>
            </w:r>
            <w:r w:rsidR="00FC12F2">
              <w:rPr>
                <w:noProof/>
                <w:webHidden/>
              </w:rPr>
            </w:r>
            <w:r w:rsidR="00FC12F2">
              <w:rPr>
                <w:noProof/>
                <w:webHidden/>
              </w:rPr>
              <w:fldChar w:fldCharType="separate"/>
            </w:r>
            <w:r w:rsidR="00FC12F2">
              <w:rPr>
                <w:noProof/>
                <w:webHidden/>
              </w:rPr>
              <w:t>12</w:t>
            </w:r>
            <w:r w:rsidR="00FC12F2">
              <w:rPr>
                <w:noProof/>
                <w:webHidden/>
              </w:rPr>
              <w:fldChar w:fldCharType="end"/>
            </w:r>
          </w:hyperlink>
        </w:p>
        <w:p w14:paraId="6B3808A4" w14:textId="77777777" w:rsidR="00FC12F2" w:rsidRDefault="00BC4EFB">
          <w:pPr>
            <w:pStyle w:val="TOC2"/>
            <w:tabs>
              <w:tab w:val="right" w:leader="dot" w:pos="9350"/>
            </w:tabs>
            <w:rPr>
              <w:rFonts w:asciiTheme="minorHAnsi" w:eastAsiaTheme="minorEastAsia" w:hAnsiTheme="minorHAnsi"/>
              <w:noProof/>
              <w:szCs w:val="24"/>
            </w:rPr>
          </w:pPr>
          <w:hyperlink w:anchor="_Toc534793494" w:history="1">
            <w:r w:rsidR="00FC12F2" w:rsidRPr="008A418C">
              <w:rPr>
                <w:rStyle w:val="Hyperlink"/>
                <w:noProof/>
              </w:rPr>
              <w:t>Academic Integrity Statement</w:t>
            </w:r>
            <w:r w:rsidR="00FC12F2">
              <w:rPr>
                <w:noProof/>
                <w:webHidden/>
              </w:rPr>
              <w:tab/>
            </w:r>
            <w:r w:rsidR="00FC12F2">
              <w:rPr>
                <w:noProof/>
                <w:webHidden/>
              </w:rPr>
              <w:fldChar w:fldCharType="begin"/>
            </w:r>
            <w:r w:rsidR="00FC12F2">
              <w:rPr>
                <w:noProof/>
                <w:webHidden/>
              </w:rPr>
              <w:instrText xml:space="preserve"> PAGEREF _Toc534793494 \h </w:instrText>
            </w:r>
            <w:r w:rsidR="00FC12F2">
              <w:rPr>
                <w:noProof/>
                <w:webHidden/>
              </w:rPr>
            </w:r>
            <w:r w:rsidR="00FC12F2">
              <w:rPr>
                <w:noProof/>
                <w:webHidden/>
              </w:rPr>
              <w:fldChar w:fldCharType="separate"/>
            </w:r>
            <w:r w:rsidR="00FC12F2">
              <w:rPr>
                <w:noProof/>
                <w:webHidden/>
              </w:rPr>
              <w:t>12</w:t>
            </w:r>
            <w:r w:rsidR="00FC12F2">
              <w:rPr>
                <w:noProof/>
                <w:webHidden/>
              </w:rPr>
              <w:fldChar w:fldCharType="end"/>
            </w:r>
          </w:hyperlink>
        </w:p>
        <w:p w14:paraId="5FB07C14" w14:textId="77777777" w:rsidR="00FC12F2" w:rsidRDefault="00BC4EFB">
          <w:pPr>
            <w:pStyle w:val="TOC2"/>
            <w:tabs>
              <w:tab w:val="right" w:leader="dot" w:pos="9350"/>
            </w:tabs>
            <w:rPr>
              <w:rFonts w:asciiTheme="minorHAnsi" w:eastAsiaTheme="minorEastAsia" w:hAnsiTheme="minorHAnsi"/>
              <w:noProof/>
              <w:szCs w:val="24"/>
            </w:rPr>
          </w:pPr>
          <w:hyperlink w:anchor="_Toc534793495" w:history="1">
            <w:r w:rsidR="00FC12F2" w:rsidRPr="008A418C">
              <w:rPr>
                <w:rStyle w:val="Hyperlink"/>
                <w:noProof/>
              </w:rPr>
              <w:t>Academic Accommodation of Students with Disabilities</w:t>
            </w:r>
            <w:r w:rsidR="00FC12F2">
              <w:rPr>
                <w:noProof/>
                <w:webHidden/>
              </w:rPr>
              <w:tab/>
            </w:r>
            <w:r w:rsidR="00FC12F2">
              <w:rPr>
                <w:noProof/>
                <w:webHidden/>
              </w:rPr>
              <w:fldChar w:fldCharType="begin"/>
            </w:r>
            <w:r w:rsidR="00FC12F2">
              <w:rPr>
                <w:noProof/>
                <w:webHidden/>
              </w:rPr>
              <w:instrText xml:space="preserve"> PAGEREF _Toc534793495 \h </w:instrText>
            </w:r>
            <w:r w:rsidR="00FC12F2">
              <w:rPr>
                <w:noProof/>
                <w:webHidden/>
              </w:rPr>
            </w:r>
            <w:r w:rsidR="00FC12F2">
              <w:rPr>
                <w:noProof/>
                <w:webHidden/>
              </w:rPr>
              <w:fldChar w:fldCharType="separate"/>
            </w:r>
            <w:r w:rsidR="00FC12F2">
              <w:rPr>
                <w:noProof/>
                <w:webHidden/>
              </w:rPr>
              <w:t>12</w:t>
            </w:r>
            <w:r w:rsidR="00FC12F2">
              <w:rPr>
                <w:noProof/>
                <w:webHidden/>
              </w:rPr>
              <w:fldChar w:fldCharType="end"/>
            </w:r>
          </w:hyperlink>
        </w:p>
        <w:p w14:paraId="1094F8E4" w14:textId="77777777" w:rsidR="00FC12F2" w:rsidRDefault="00BC4EFB">
          <w:pPr>
            <w:pStyle w:val="TOC2"/>
            <w:tabs>
              <w:tab w:val="right" w:leader="dot" w:pos="9350"/>
            </w:tabs>
            <w:rPr>
              <w:rFonts w:asciiTheme="minorHAnsi" w:eastAsiaTheme="minorEastAsia" w:hAnsiTheme="minorHAnsi"/>
              <w:noProof/>
              <w:szCs w:val="24"/>
            </w:rPr>
          </w:pPr>
          <w:hyperlink w:anchor="_Toc534793496" w:history="1">
            <w:r w:rsidR="00FC12F2" w:rsidRPr="008A418C">
              <w:rPr>
                <w:rStyle w:val="Hyperlink"/>
                <w:noProof/>
              </w:rPr>
              <w:t>Faculty of Social Sciences E-mail Communication Policy</w:t>
            </w:r>
            <w:r w:rsidR="00FC12F2">
              <w:rPr>
                <w:noProof/>
                <w:webHidden/>
              </w:rPr>
              <w:tab/>
            </w:r>
            <w:r w:rsidR="00FC12F2">
              <w:rPr>
                <w:noProof/>
                <w:webHidden/>
              </w:rPr>
              <w:fldChar w:fldCharType="begin"/>
            </w:r>
            <w:r w:rsidR="00FC12F2">
              <w:rPr>
                <w:noProof/>
                <w:webHidden/>
              </w:rPr>
              <w:instrText xml:space="preserve"> PAGEREF _Toc534793496 \h </w:instrText>
            </w:r>
            <w:r w:rsidR="00FC12F2">
              <w:rPr>
                <w:noProof/>
                <w:webHidden/>
              </w:rPr>
            </w:r>
            <w:r w:rsidR="00FC12F2">
              <w:rPr>
                <w:noProof/>
                <w:webHidden/>
              </w:rPr>
              <w:fldChar w:fldCharType="separate"/>
            </w:r>
            <w:r w:rsidR="00FC12F2">
              <w:rPr>
                <w:noProof/>
                <w:webHidden/>
              </w:rPr>
              <w:t>12</w:t>
            </w:r>
            <w:r w:rsidR="00FC12F2">
              <w:rPr>
                <w:noProof/>
                <w:webHidden/>
              </w:rPr>
              <w:fldChar w:fldCharType="end"/>
            </w:r>
          </w:hyperlink>
        </w:p>
        <w:p w14:paraId="3E1CEC57" w14:textId="77777777" w:rsidR="00FC12F2" w:rsidRDefault="00BC4EFB">
          <w:pPr>
            <w:pStyle w:val="TOC2"/>
            <w:tabs>
              <w:tab w:val="right" w:leader="dot" w:pos="9350"/>
            </w:tabs>
            <w:rPr>
              <w:rFonts w:asciiTheme="minorHAnsi" w:eastAsiaTheme="minorEastAsia" w:hAnsiTheme="minorHAnsi"/>
              <w:noProof/>
              <w:szCs w:val="24"/>
            </w:rPr>
          </w:pPr>
          <w:hyperlink w:anchor="_Toc534793497" w:history="1">
            <w:r w:rsidR="00FC12F2" w:rsidRPr="008A418C">
              <w:rPr>
                <w:rStyle w:val="Hyperlink"/>
                <w:noProof/>
              </w:rPr>
              <w:t>Course Modification</w:t>
            </w:r>
            <w:r w:rsidR="00FC12F2">
              <w:rPr>
                <w:noProof/>
                <w:webHidden/>
              </w:rPr>
              <w:tab/>
            </w:r>
            <w:r w:rsidR="00FC12F2">
              <w:rPr>
                <w:noProof/>
                <w:webHidden/>
              </w:rPr>
              <w:fldChar w:fldCharType="begin"/>
            </w:r>
            <w:r w:rsidR="00FC12F2">
              <w:rPr>
                <w:noProof/>
                <w:webHidden/>
              </w:rPr>
              <w:instrText xml:space="preserve"> PAGEREF _Toc534793497 \h </w:instrText>
            </w:r>
            <w:r w:rsidR="00FC12F2">
              <w:rPr>
                <w:noProof/>
                <w:webHidden/>
              </w:rPr>
            </w:r>
            <w:r w:rsidR="00FC12F2">
              <w:rPr>
                <w:noProof/>
                <w:webHidden/>
              </w:rPr>
              <w:fldChar w:fldCharType="separate"/>
            </w:r>
            <w:r w:rsidR="00FC12F2">
              <w:rPr>
                <w:noProof/>
                <w:webHidden/>
              </w:rPr>
              <w:t>12</w:t>
            </w:r>
            <w:r w:rsidR="00FC12F2">
              <w:rPr>
                <w:noProof/>
                <w:webHidden/>
              </w:rPr>
              <w:fldChar w:fldCharType="end"/>
            </w:r>
          </w:hyperlink>
        </w:p>
        <w:p w14:paraId="396CA8D6" w14:textId="77777777" w:rsidR="001E657C" w:rsidRPr="00235E16" w:rsidRDefault="003D75ED" w:rsidP="00B74D6C">
          <w:r w:rsidRPr="00235E16">
            <w:rPr>
              <w:rFonts w:cs="Arial"/>
            </w:rPr>
            <w:fldChar w:fldCharType="end"/>
          </w:r>
        </w:p>
      </w:sdtContent>
    </w:sdt>
    <w:p w14:paraId="1895E054" w14:textId="77777777" w:rsidR="00B74D6C" w:rsidRPr="00235E16" w:rsidRDefault="00B74D6C">
      <w:pPr>
        <w:rPr>
          <w:rFonts w:eastAsiaTheme="majorEastAsia" w:cstheme="majorBidi"/>
          <w:b/>
          <w:sz w:val="28"/>
          <w:szCs w:val="32"/>
          <w:u w:val="single"/>
        </w:rPr>
      </w:pPr>
      <w:r w:rsidRPr="00235E16">
        <w:br w:type="page"/>
      </w:r>
    </w:p>
    <w:p w14:paraId="48CBAE0A" w14:textId="77777777" w:rsidR="00A03C8F" w:rsidRPr="00235E16" w:rsidRDefault="00A03C8F" w:rsidP="009F7FC2">
      <w:pPr>
        <w:pStyle w:val="Heading1"/>
      </w:pPr>
      <w:bookmarkStart w:id="1" w:name="_Toc534793456"/>
      <w:r w:rsidRPr="00235E16">
        <w:lastRenderedPageBreak/>
        <w:t>Course Description</w:t>
      </w:r>
      <w:bookmarkEnd w:id="1"/>
    </w:p>
    <w:p w14:paraId="0E2EF15B" w14:textId="77777777" w:rsidR="00A1566C" w:rsidRPr="00A1566C" w:rsidRDefault="00A1566C" w:rsidP="00A1566C">
      <w:pPr>
        <w:rPr>
          <w:rFonts w:cs="Arial"/>
          <w:szCs w:val="24"/>
        </w:rPr>
      </w:pPr>
      <w:r w:rsidRPr="00A1566C">
        <w:rPr>
          <w:rFonts w:cs="Arial"/>
          <w:szCs w:val="24"/>
        </w:rPr>
        <w:t xml:space="preserve">This course challenges students to take a critical view of health policy in Canada and other industrialized countries. This policy area is a significant and sometimes contentious component of public expenditures and often citizens’ main point of contact with government. As Katherine </w:t>
      </w:r>
      <w:proofErr w:type="spellStart"/>
      <w:r w:rsidRPr="00A1566C">
        <w:rPr>
          <w:rFonts w:cs="Arial"/>
          <w:szCs w:val="24"/>
        </w:rPr>
        <w:t>Fierlbeck</w:t>
      </w:r>
      <w:proofErr w:type="spellEnd"/>
      <w:r w:rsidRPr="00A1566C">
        <w:rPr>
          <w:rFonts w:cs="Arial"/>
          <w:szCs w:val="24"/>
        </w:rPr>
        <w:t xml:space="preserve"> argues, health care “rightfully ought to be debated widely in the public realm. We cannot debate health care, however, if we do not understand how health care works” (2011, ix). This course aims to provide the necessary foundation of knowledge for engaged citizenship with regards to health policy, and possible future employment or graduate work related to health. It seeks to develop skills of critical evaluation of policy that will transfer to other areas of study by focusing on the identification of policy problems and possible solutions, and then the often more difficult task of adjudicating between solutions and understanding roadblocks to reform.</w:t>
      </w:r>
    </w:p>
    <w:p w14:paraId="6552F9CA" w14:textId="431119E2" w:rsidR="00702892" w:rsidRPr="00A1566C" w:rsidRDefault="00A1566C" w:rsidP="00A1566C">
      <w:pPr>
        <w:widowControl w:val="0"/>
        <w:autoSpaceDE w:val="0"/>
        <w:autoSpaceDN w:val="0"/>
        <w:adjustRightInd w:val="0"/>
        <w:rPr>
          <w:rFonts w:cs="Arial"/>
          <w:szCs w:val="24"/>
        </w:rPr>
      </w:pPr>
      <w:r w:rsidRPr="00A1566C">
        <w:rPr>
          <w:rFonts w:cs="Arial"/>
          <w:szCs w:val="24"/>
        </w:rPr>
        <w:t xml:space="preserve">The course begins with a general introduction to health policy, and then in-depth discussion of the Canadian health system. We then </w:t>
      </w:r>
      <w:r>
        <w:rPr>
          <w:rFonts w:cs="Arial"/>
          <w:szCs w:val="24"/>
        </w:rPr>
        <w:t>discuss selected problems in health policy and compare the Canadian health system to</w:t>
      </w:r>
      <w:r w:rsidRPr="00A1566C">
        <w:rPr>
          <w:rFonts w:cs="Arial"/>
          <w:szCs w:val="24"/>
        </w:rPr>
        <w:t xml:space="preserve"> </w:t>
      </w:r>
      <w:r>
        <w:rPr>
          <w:rFonts w:cs="Arial"/>
          <w:szCs w:val="24"/>
        </w:rPr>
        <w:t xml:space="preserve">two others </w:t>
      </w:r>
      <w:r w:rsidRPr="00A1566C">
        <w:rPr>
          <w:rFonts w:cs="Arial"/>
          <w:szCs w:val="24"/>
        </w:rPr>
        <w:t>(the United Kingdom and the United States</w:t>
      </w:r>
      <w:r>
        <w:rPr>
          <w:rFonts w:cs="Arial"/>
          <w:szCs w:val="24"/>
        </w:rPr>
        <w:t xml:space="preserve">). </w:t>
      </w:r>
    </w:p>
    <w:p w14:paraId="6799E166" w14:textId="77777777" w:rsidR="00A03C8F" w:rsidRPr="00235E16" w:rsidRDefault="00A03C8F" w:rsidP="009F7FC2">
      <w:pPr>
        <w:pStyle w:val="Heading1"/>
      </w:pPr>
      <w:bookmarkStart w:id="2" w:name="_Toc534793457"/>
      <w:r w:rsidRPr="00235E16">
        <w:t>Course Objectives</w:t>
      </w:r>
      <w:bookmarkEnd w:id="2"/>
    </w:p>
    <w:p w14:paraId="1568E883" w14:textId="77777777" w:rsidR="009F7FC2" w:rsidRPr="00235E16" w:rsidRDefault="009F7FC2" w:rsidP="00B74D6C">
      <w:r w:rsidRPr="00235E16">
        <w:t>By the end of the course students should be able to:</w:t>
      </w:r>
    </w:p>
    <w:p w14:paraId="607F5248" w14:textId="5691899D" w:rsidR="00190540" w:rsidRPr="00235E16" w:rsidRDefault="00190540" w:rsidP="009F03A3">
      <w:pPr>
        <w:pStyle w:val="ListParagraph"/>
        <w:numPr>
          <w:ilvl w:val="0"/>
          <w:numId w:val="2"/>
        </w:numPr>
        <w:rPr>
          <w:rFonts w:cs="Arial"/>
          <w:szCs w:val="24"/>
        </w:rPr>
      </w:pPr>
      <w:r w:rsidRPr="00235E16">
        <w:rPr>
          <w:rFonts w:cs="Arial"/>
          <w:szCs w:val="24"/>
        </w:rPr>
        <w:t xml:space="preserve">demonstrate a good understanding of the </w:t>
      </w:r>
      <w:r w:rsidR="00A1566C">
        <w:rPr>
          <w:rFonts w:cs="Arial"/>
          <w:szCs w:val="24"/>
        </w:rPr>
        <w:t>key features of Canadian health systems regarding funding and decision-making, and explain how they differ from the UK and the US</w:t>
      </w:r>
    </w:p>
    <w:p w14:paraId="0FEE2052" w14:textId="34B448FF" w:rsidR="00190540" w:rsidRPr="00235E16" w:rsidRDefault="00A1566C" w:rsidP="009F03A3">
      <w:pPr>
        <w:pStyle w:val="ListParagraph"/>
        <w:numPr>
          <w:ilvl w:val="0"/>
          <w:numId w:val="2"/>
        </w:numPr>
        <w:rPr>
          <w:rFonts w:cs="Arial"/>
          <w:szCs w:val="24"/>
        </w:rPr>
      </w:pPr>
      <w:r>
        <w:rPr>
          <w:rFonts w:cs="Arial"/>
          <w:szCs w:val="24"/>
        </w:rPr>
        <w:t>identify</w:t>
      </w:r>
      <w:r w:rsidR="00190540" w:rsidRPr="00235E16">
        <w:rPr>
          <w:rFonts w:cs="Arial"/>
          <w:szCs w:val="24"/>
        </w:rPr>
        <w:t xml:space="preserve"> a specific </w:t>
      </w:r>
      <w:r>
        <w:rPr>
          <w:rFonts w:cs="Arial"/>
          <w:szCs w:val="24"/>
        </w:rPr>
        <w:t xml:space="preserve">health </w:t>
      </w:r>
      <w:r w:rsidR="00190540" w:rsidRPr="00235E16">
        <w:rPr>
          <w:rFonts w:cs="Arial"/>
          <w:szCs w:val="24"/>
        </w:rPr>
        <w:t>policy problem</w:t>
      </w:r>
      <w:r>
        <w:rPr>
          <w:rFonts w:cs="Arial"/>
          <w:szCs w:val="24"/>
        </w:rPr>
        <w:t xml:space="preserve"> and describe its significance in a short policy memo</w:t>
      </w:r>
    </w:p>
    <w:p w14:paraId="7D3442A0" w14:textId="036133E9" w:rsidR="00190540" w:rsidRPr="00235E16" w:rsidRDefault="00A1566C" w:rsidP="009F03A3">
      <w:pPr>
        <w:pStyle w:val="ListParagraph"/>
        <w:numPr>
          <w:ilvl w:val="0"/>
          <w:numId w:val="2"/>
        </w:numPr>
        <w:rPr>
          <w:rFonts w:cs="Arial"/>
          <w:szCs w:val="24"/>
        </w:rPr>
      </w:pPr>
      <w:r>
        <w:rPr>
          <w:rFonts w:cs="Arial"/>
          <w:szCs w:val="24"/>
        </w:rPr>
        <w:t>propose possible policy solutions and discuss the costs and benefits of each in a short policy memo</w:t>
      </w:r>
    </w:p>
    <w:p w14:paraId="74ACB6FD" w14:textId="6EAD8F81" w:rsidR="009F7FC2" w:rsidRPr="00235E16" w:rsidRDefault="00A1566C" w:rsidP="009F03A3">
      <w:pPr>
        <w:pStyle w:val="ListParagraph"/>
        <w:numPr>
          <w:ilvl w:val="0"/>
          <w:numId w:val="2"/>
        </w:numPr>
        <w:rPr>
          <w:rFonts w:cs="Arial"/>
          <w:szCs w:val="24"/>
        </w:rPr>
      </w:pPr>
      <w:r w:rsidRPr="00A1566C">
        <w:rPr>
          <w:rFonts w:cs="Arial"/>
          <w:szCs w:val="24"/>
        </w:rPr>
        <w:t xml:space="preserve">give </w:t>
      </w:r>
      <w:r>
        <w:rPr>
          <w:rFonts w:cs="Arial"/>
          <w:szCs w:val="24"/>
        </w:rPr>
        <w:t>a brief, informal presentation</w:t>
      </w:r>
      <w:r w:rsidRPr="00A1566C">
        <w:rPr>
          <w:rFonts w:cs="Arial"/>
          <w:szCs w:val="24"/>
        </w:rPr>
        <w:t xml:space="preserve"> about the policy problem addressed in their written assignments</w:t>
      </w:r>
    </w:p>
    <w:p w14:paraId="20F4FA1A" w14:textId="7B631C0B" w:rsidR="00A03C8F" w:rsidRPr="00235E16" w:rsidRDefault="00A03C8F" w:rsidP="009F7FC2">
      <w:pPr>
        <w:pStyle w:val="Heading1"/>
      </w:pPr>
      <w:bookmarkStart w:id="3" w:name="_Toc534793458"/>
      <w:r w:rsidRPr="00235E16">
        <w:t>Required Materials and Texts</w:t>
      </w:r>
      <w:bookmarkEnd w:id="3"/>
    </w:p>
    <w:p w14:paraId="208D4EA2" w14:textId="60B76109" w:rsidR="00A1566C" w:rsidRPr="00A1566C" w:rsidRDefault="00A1566C" w:rsidP="009F03A3">
      <w:pPr>
        <w:pStyle w:val="ListParagraph"/>
        <w:numPr>
          <w:ilvl w:val="0"/>
          <w:numId w:val="2"/>
        </w:numPr>
        <w:spacing w:after="0" w:line="240" w:lineRule="auto"/>
        <w:rPr>
          <w:rFonts w:eastAsia="Times New Roman" w:cs="Arial"/>
          <w:szCs w:val="24"/>
        </w:rPr>
      </w:pPr>
      <w:proofErr w:type="spellStart"/>
      <w:r w:rsidRPr="00A1566C">
        <w:rPr>
          <w:rFonts w:eastAsia="Times New Roman" w:cs="Arial"/>
          <w:color w:val="2A3135"/>
          <w:szCs w:val="24"/>
          <w:shd w:val="clear" w:color="auto" w:fill="FFFFFF"/>
        </w:rPr>
        <w:t>Fierlbeck</w:t>
      </w:r>
      <w:proofErr w:type="spellEnd"/>
      <w:r w:rsidRPr="00A1566C">
        <w:rPr>
          <w:rFonts w:eastAsia="Times New Roman" w:cs="Arial"/>
          <w:color w:val="2A3135"/>
          <w:szCs w:val="24"/>
          <w:shd w:val="clear" w:color="auto" w:fill="FFFFFF"/>
        </w:rPr>
        <w:t xml:space="preserve">, Katherine. 2011. Health Care in Canada: </w:t>
      </w:r>
      <w:proofErr w:type="gramStart"/>
      <w:r w:rsidRPr="00A1566C">
        <w:rPr>
          <w:rFonts w:eastAsia="Times New Roman" w:cs="Arial"/>
          <w:color w:val="2A3135"/>
          <w:szCs w:val="24"/>
          <w:shd w:val="clear" w:color="auto" w:fill="FFFFFF"/>
        </w:rPr>
        <w:t>a</w:t>
      </w:r>
      <w:proofErr w:type="gramEnd"/>
      <w:r w:rsidRPr="00A1566C">
        <w:rPr>
          <w:rFonts w:eastAsia="Times New Roman" w:cs="Arial"/>
          <w:color w:val="2A3135"/>
          <w:szCs w:val="24"/>
          <w:shd w:val="clear" w:color="auto" w:fill="FFFFFF"/>
        </w:rPr>
        <w:t xml:space="preserve"> Citizen's Guide to Policy and Politics. University of Toronto Press, Scholarly Publishing Division.</w:t>
      </w:r>
      <w:r>
        <w:rPr>
          <w:rFonts w:eastAsia="Times New Roman" w:cs="Arial"/>
          <w:color w:val="2A3135"/>
          <w:szCs w:val="24"/>
          <w:shd w:val="clear" w:color="auto" w:fill="FFFFFF"/>
        </w:rPr>
        <w:t xml:space="preserve"> A limited number are available from the Campus Store. Students may also purchase the book from major online retailers ($27.10). It is on 2-hour reserve at Mills Library.</w:t>
      </w:r>
    </w:p>
    <w:p w14:paraId="74FAE88B" w14:textId="036F060C" w:rsidR="00CC0140" w:rsidRPr="00235E16" w:rsidRDefault="00CC0140" w:rsidP="009F03A3">
      <w:pPr>
        <w:pStyle w:val="ListParagraph"/>
        <w:numPr>
          <w:ilvl w:val="0"/>
          <w:numId w:val="2"/>
        </w:numPr>
      </w:pPr>
      <w:r w:rsidRPr="00235E16">
        <w:rPr>
          <w:rFonts w:ascii="Helvetica" w:hAnsi="Helvetica" w:cs="Helvetica"/>
          <w:szCs w:val="24"/>
        </w:rPr>
        <w:t>All other articles and book chapters are available on the Avenue page</w:t>
      </w:r>
    </w:p>
    <w:p w14:paraId="2E68FB17" w14:textId="7A73A2A9" w:rsidR="00A03C8F" w:rsidRPr="00235E16" w:rsidRDefault="00DD55CC" w:rsidP="009F7FC2">
      <w:pPr>
        <w:pStyle w:val="Heading1"/>
      </w:pPr>
      <w:bookmarkStart w:id="4" w:name="_Toc534793459"/>
      <w:r w:rsidRPr="00235E16">
        <w:t>Class Format</w:t>
      </w:r>
      <w:bookmarkEnd w:id="4"/>
    </w:p>
    <w:p w14:paraId="0C757667" w14:textId="4369B1B1" w:rsidR="009F7FC2" w:rsidRPr="00235E16" w:rsidRDefault="00CC0140" w:rsidP="00B74D6C">
      <w:r w:rsidRPr="00235E16">
        <w:t>One weekly seminar, 3 hours</w:t>
      </w:r>
    </w:p>
    <w:p w14:paraId="114C071E" w14:textId="77777777" w:rsidR="00A05C89" w:rsidRPr="00235E16" w:rsidRDefault="00A05C89" w:rsidP="009F7FC2">
      <w:pPr>
        <w:pStyle w:val="Heading1"/>
      </w:pPr>
      <w:bookmarkStart w:id="5" w:name="_Toc534793460"/>
      <w:r w:rsidRPr="00235E16">
        <w:lastRenderedPageBreak/>
        <w:t xml:space="preserve">Course Evaluation – </w:t>
      </w:r>
      <w:r w:rsidR="00DD55CC" w:rsidRPr="00235E16">
        <w:t>Overview</w:t>
      </w:r>
      <w:bookmarkEnd w:id="5"/>
    </w:p>
    <w:p w14:paraId="2CB9B821" w14:textId="576779AB" w:rsidR="009F7FC2" w:rsidRPr="00235E16" w:rsidRDefault="00440A92" w:rsidP="009F03A3">
      <w:pPr>
        <w:pStyle w:val="ListParagraph"/>
        <w:numPr>
          <w:ilvl w:val="0"/>
          <w:numId w:val="1"/>
        </w:numPr>
        <w:rPr>
          <w:rFonts w:cs="Arial"/>
          <w:szCs w:val="24"/>
        </w:rPr>
      </w:pPr>
      <w:r>
        <w:rPr>
          <w:rFonts w:cs="Arial"/>
          <w:szCs w:val="24"/>
        </w:rPr>
        <w:t>Participation, 15</w:t>
      </w:r>
      <w:r w:rsidR="00F9151D" w:rsidRPr="00235E16">
        <w:rPr>
          <w:rFonts w:cs="Arial"/>
          <w:szCs w:val="24"/>
        </w:rPr>
        <w:t>%, ongoing</w:t>
      </w:r>
    </w:p>
    <w:p w14:paraId="43FC057D" w14:textId="3FA666F5" w:rsidR="00746B9F" w:rsidRPr="00235E16" w:rsidRDefault="00971ABD" w:rsidP="009F03A3">
      <w:pPr>
        <w:pStyle w:val="ListParagraph"/>
        <w:numPr>
          <w:ilvl w:val="0"/>
          <w:numId w:val="1"/>
        </w:numPr>
        <w:rPr>
          <w:rFonts w:cs="Arial"/>
          <w:szCs w:val="24"/>
        </w:rPr>
      </w:pPr>
      <w:r>
        <w:rPr>
          <w:rFonts w:cs="Arial"/>
          <w:szCs w:val="24"/>
        </w:rPr>
        <w:t>Weekly reading posts, 10</w:t>
      </w:r>
      <w:r w:rsidR="00746B9F" w:rsidRPr="00235E16">
        <w:rPr>
          <w:rFonts w:cs="Arial"/>
          <w:szCs w:val="24"/>
        </w:rPr>
        <w:t>% ongoing</w:t>
      </w:r>
    </w:p>
    <w:p w14:paraId="16C4B39A" w14:textId="6DA54924" w:rsidR="00F9151D" w:rsidRPr="00235E16" w:rsidRDefault="00746B9F" w:rsidP="009F03A3">
      <w:pPr>
        <w:pStyle w:val="ListParagraph"/>
        <w:numPr>
          <w:ilvl w:val="0"/>
          <w:numId w:val="1"/>
        </w:numPr>
        <w:rPr>
          <w:rFonts w:cs="Arial"/>
          <w:szCs w:val="24"/>
        </w:rPr>
      </w:pPr>
      <w:r w:rsidRPr="00235E16">
        <w:rPr>
          <w:rFonts w:cs="Arial"/>
          <w:szCs w:val="24"/>
        </w:rPr>
        <w:t xml:space="preserve">Discussion leadership, </w:t>
      </w:r>
      <w:r w:rsidR="00971ABD">
        <w:rPr>
          <w:rFonts w:cs="Arial"/>
          <w:szCs w:val="24"/>
        </w:rPr>
        <w:t>5</w:t>
      </w:r>
      <w:r w:rsidR="00F9151D" w:rsidRPr="00235E16">
        <w:rPr>
          <w:rFonts w:cs="Arial"/>
          <w:szCs w:val="24"/>
        </w:rPr>
        <w:t>%</w:t>
      </w:r>
      <w:r w:rsidR="00204FED" w:rsidRPr="00235E16">
        <w:rPr>
          <w:rFonts w:cs="Arial"/>
          <w:szCs w:val="24"/>
        </w:rPr>
        <w:t>, date determined first week</w:t>
      </w:r>
    </w:p>
    <w:p w14:paraId="7E389FEF" w14:textId="7BDA3046" w:rsidR="00746B9F" w:rsidRPr="00235E16" w:rsidRDefault="00CE36D0" w:rsidP="009F03A3">
      <w:pPr>
        <w:pStyle w:val="ListParagraph"/>
        <w:numPr>
          <w:ilvl w:val="0"/>
          <w:numId w:val="1"/>
        </w:numPr>
        <w:rPr>
          <w:rFonts w:cs="Arial"/>
          <w:szCs w:val="24"/>
        </w:rPr>
      </w:pPr>
      <w:r>
        <w:rPr>
          <w:rFonts w:cs="Arial"/>
          <w:szCs w:val="24"/>
        </w:rPr>
        <w:t>Topic statement and bibliography 10</w:t>
      </w:r>
      <w:r w:rsidR="00746B9F" w:rsidRPr="00235E16">
        <w:rPr>
          <w:rFonts w:cs="Arial"/>
          <w:szCs w:val="24"/>
        </w:rPr>
        <w:t>%, due Feb 11</w:t>
      </w:r>
    </w:p>
    <w:p w14:paraId="6923E969" w14:textId="1E053651" w:rsidR="00190540" w:rsidRPr="00235E16" w:rsidRDefault="00440A92" w:rsidP="009F03A3">
      <w:pPr>
        <w:pStyle w:val="ListParagraph"/>
        <w:numPr>
          <w:ilvl w:val="0"/>
          <w:numId w:val="1"/>
        </w:numPr>
        <w:spacing w:after="0" w:line="240" w:lineRule="auto"/>
        <w:rPr>
          <w:rFonts w:cs="Arial"/>
          <w:szCs w:val="24"/>
        </w:rPr>
      </w:pPr>
      <w:r>
        <w:rPr>
          <w:rFonts w:cs="Arial"/>
          <w:szCs w:val="24"/>
        </w:rPr>
        <w:t>Information note 25</w:t>
      </w:r>
      <w:r w:rsidR="00746B9F" w:rsidRPr="00235E16">
        <w:rPr>
          <w:rFonts w:cs="Arial"/>
          <w:szCs w:val="24"/>
        </w:rPr>
        <w:t>%</w:t>
      </w:r>
      <w:r w:rsidR="00190540" w:rsidRPr="00235E16">
        <w:rPr>
          <w:rFonts w:cs="Arial"/>
          <w:szCs w:val="24"/>
        </w:rPr>
        <w:t>, due Apr 12</w:t>
      </w:r>
    </w:p>
    <w:p w14:paraId="21BE421B" w14:textId="75896F9F" w:rsidR="00190540" w:rsidRPr="00235E16" w:rsidRDefault="00CE36D0" w:rsidP="009F03A3">
      <w:pPr>
        <w:pStyle w:val="ListParagraph"/>
        <w:numPr>
          <w:ilvl w:val="0"/>
          <w:numId w:val="1"/>
        </w:numPr>
        <w:spacing w:after="0" w:line="240" w:lineRule="auto"/>
        <w:rPr>
          <w:rFonts w:cs="Arial"/>
          <w:szCs w:val="24"/>
        </w:rPr>
      </w:pPr>
      <w:r>
        <w:rPr>
          <w:rFonts w:cs="Arial"/>
          <w:szCs w:val="24"/>
        </w:rPr>
        <w:t>Decision note 35</w:t>
      </w:r>
      <w:r w:rsidR="00746B9F" w:rsidRPr="00235E16">
        <w:rPr>
          <w:rFonts w:cs="Arial"/>
          <w:szCs w:val="24"/>
        </w:rPr>
        <w:t>%</w:t>
      </w:r>
      <w:r w:rsidR="00190540" w:rsidRPr="00235E16">
        <w:rPr>
          <w:rFonts w:cs="Arial"/>
          <w:szCs w:val="24"/>
        </w:rPr>
        <w:t>,</w:t>
      </w:r>
      <w:r w:rsidR="00746B9F" w:rsidRPr="00235E16">
        <w:rPr>
          <w:rFonts w:cs="Arial"/>
          <w:szCs w:val="24"/>
        </w:rPr>
        <w:t xml:space="preserve"> due Mar 25</w:t>
      </w:r>
    </w:p>
    <w:p w14:paraId="6BD9A699" w14:textId="77777777" w:rsidR="00DD55CC" w:rsidRPr="00235E16" w:rsidRDefault="00A05C89" w:rsidP="009F7FC2">
      <w:pPr>
        <w:pStyle w:val="Heading1"/>
      </w:pPr>
      <w:bookmarkStart w:id="6" w:name="_Toc534793461"/>
      <w:r w:rsidRPr="00235E16">
        <w:t>Course Evaluation – Details</w:t>
      </w:r>
      <w:bookmarkEnd w:id="6"/>
    </w:p>
    <w:p w14:paraId="6657FA2C" w14:textId="1FAF6082" w:rsidR="00204FED" w:rsidRPr="00235E16" w:rsidRDefault="00F9151D" w:rsidP="00204FED">
      <w:pPr>
        <w:pStyle w:val="Heading2"/>
      </w:pPr>
      <w:bookmarkStart w:id="7" w:name="_Toc534793462"/>
      <w:r w:rsidRPr="00235E16">
        <w:t xml:space="preserve">Participation </w:t>
      </w:r>
      <w:r w:rsidR="00746B9F" w:rsidRPr="00235E16">
        <w:t>(</w:t>
      </w:r>
      <w:r w:rsidR="00E941F9">
        <w:t>15</w:t>
      </w:r>
      <w:r w:rsidR="00746B9F" w:rsidRPr="00235E16">
        <w:t>%</w:t>
      </w:r>
      <w:r w:rsidR="000950EB" w:rsidRPr="00235E16">
        <w:t xml:space="preserve">, </w:t>
      </w:r>
      <w:r w:rsidRPr="00235E16">
        <w:t>ongoing</w:t>
      </w:r>
      <w:r w:rsidR="00746B9F" w:rsidRPr="00235E16">
        <w:t>)</w:t>
      </w:r>
      <w:bookmarkEnd w:id="7"/>
    </w:p>
    <w:p w14:paraId="4F11ABB9" w14:textId="4649F308" w:rsidR="00204FED" w:rsidRPr="00235E16" w:rsidRDefault="00204FED" w:rsidP="00204FED">
      <w:pPr>
        <w:pStyle w:val="BodyText3"/>
        <w:rPr>
          <w:rFonts w:cs="Arial"/>
          <w:iCs/>
          <w:sz w:val="24"/>
          <w:szCs w:val="24"/>
        </w:rPr>
      </w:pPr>
      <w:r w:rsidRPr="00235E16">
        <w:rPr>
          <w:rFonts w:cs="Arial"/>
          <w:sz w:val="24"/>
          <w:szCs w:val="24"/>
        </w:rPr>
        <w:t xml:space="preserve">A central feature of a seminar is that students learn from each other through discussion.  As such, it is essential that all students do the readings in advance of the seminar and come prepared to participate actively in the class discussion. I strongly encourage you to think about what insights you can gain from the readings, not just what’s “wrong” with them, which can be one’s first inclination. Think about how the readings fit together (or don’t), how they relate to readings in previous weeks, and especially how they relate to the topic of your </w:t>
      </w:r>
      <w:r w:rsidR="00CE36D0">
        <w:rPr>
          <w:rFonts w:cs="Arial"/>
          <w:sz w:val="24"/>
          <w:szCs w:val="24"/>
        </w:rPr>
        <w:t>policy memos</w:t>
      </w:r>
      <w:r w:rsidRPr="00235E16">
        <w:rPr>
          <w:rFonts w:cs="Arial"/>
          <w:sz w:val="24"/>
          <w:szCs w:val="24"/>
        </w:rPr>
        <w:t xml:space="preserve">.  </w:t>
      </w:r>
      <w:r w:rsidRPr="00235E16">
        <w:rPr>
          <w:rFonts w:cs="Arial"/>
          <w:iCs/>
          <w:sz w:val="24"/>
          <w:szCs w:val="24"/>
        </w:rPr>
        <w:t xml:space="preserve">I recognize that speaking in seminar can be intimidating at times, but it is a crucial skill in academia (and life!), and my goal is for our seminar to be an open-minded and considerate place to practice. </w:t>
      </w:r>
    </w:p>
    <w:p w14:paraId="365CE9C5" w14:textId="77777777" w:rsidR="00204FED" w:rsidRPr="00235E16" w:rsidRDefault="00204FED" w:rsidP="00204FED">
      <w:pPr>
        <w:pStyle w:val="BodyText3"/>
        <w:rPr>
          <w:rFonts w:cs="Arial"/>
          <w:sz w:val="24"/>
          <w:szCs w:val="24"/>
        </w:rPr>
      </w:pPr>
      <w:r w:rsidRPr="00235E16">
        <w:rPr>
          <w:rFonts w:cs="Arial"/>
          <w:sz w:val="24"/>
          <w:szCs w:val="24"/>
          <w:lang w:val="en-CA"/>
        </w:rPr>
        <w:t>Students are expected to regularly read a newspaper with Canadian and international coverage and to contribute to class discussion on current events related to public policy.</w:t>
      </w:r>
    </w:p>
    <w:p w14:paraId="20462DE1" w14:textId="35DEF568" w:rsidR="00EA59DF" w:rsidRDefault="00EA59DF" w:rsidP="00EA59DF">
      <w:pPr>
        <w:pStyle w:val="BodyText3"/>
        <w:rPr>
          <w:rFonts w:cs="Arial"/>
          <w:sz w:val="24"/>
          <w:szCs w:val="24"/>
        </w:rPr>
      </w:pPr>
      <w:r w:rsidRPr="00235E16">
        <w:rPr>
          <w:rFonts w:cs="Arial"/>
          <w:sz w:val="24"/>
          <w:szCs w:val="24"/>
        </w:rPr>
        <w:t>Your participation grade wil</w:t>
      </w:r>
      <w:r w:rsidR="00CE36D0">
        <w:rPr>
          <w:rFonts w:cs="Arial"/>
          <w:sz w:val="24"/>
          <w:szCs w:val="24"/>
        </w:rPr>
        <w:t>l include the presentation of a</w:t>
      </w:r>
      <w:r w:rsidRPr="00235E16">
        <w:rPr>
          <w:rFonts w:cs="Arial"/>
          <w:sz w:val="24"/>
          <w:szCs w:val="24"/>
        </w:rPr>
        <w:t xml:space="preserve"> </w:t>
      </w:r>
      <w:proofErr w:type="gramStart"/>
      <w:r w:rsidR="00CE36D0">
        <w:rPr>
          <w:rFonts w:cs="Arial"/>
          <w:b/>
          <w:sz w:val="24"/>
          <w:szCs w:val="24"/>
        </w:rPr>
        <w:t>3</w:t>
      </w:r>
      <w:r w:rsidRPr="00235E16">
        <w:rPr>
          <w:rFonts w:cs="Arial"/>
          <w:b/>
          <w:sz w:val="24"/>
          <w:szCs w:val="24"/>
        </w:rPr>
        <w:t xml:space="preserve"> minute</w:t>
      </w:r>
      <w:proofErr w:type="gramEnd"/>
      <w:r w:rsidRPr="00235E16">
        <w:rPr>
          <w:rFonts w:cs="Arial"/>
          <w:b/>
          <w:sz w:val="24"/>
          <w:szCs w:val="24"/>
        </w:rPr>
        <w:t xml:space="preserve"> </w:t>
      </w:r>
      <w:r w:rsidR="00CE36D0">
        <w:rPr>
          <w:rFonts w:cs="Arial"/>
          <w:b/>
          <w:sz w:val="24"/>
          <w:szCs w:val="24"/>
        </w:rPr>
        <w:t>presentation</w:t>
      </w:r>
      <w:r w:rsidRPr="00235E16">
        <w:rPr>
          <w:rFonts w:cs="Arial"/>
          <w:sz w:val="24"/>
          <w:szCs w:val="24"/>
        </w:rPr>
        <w:t xml:space="preserve"> </w:t>
      </w:r>
      <w:r w:rsidR="00CE36D0">
        <w:rPr>
          <w:rFonts w:ascii="Helvetica" w:hAnsi="Helvetica"/>
          <w:sz w:val="22"/>
          <w:szCs w:val="22"/>
        </w:rPr>
        <w:t xml:space="preserve">about </w:t>
      </w:r>
      <w:r w:rsidR="00CE36D0" w:rsidRPr="00CE36D0">
        <w:rPr>
          <w:rFonts w:cs="Arial"/>
          <w:sz w:val="24"/>
          <w:szCs w:val="24"/>
        </w:rPr>
        <w:t>the policy problem and proposal from your written assignments</w:t>
      </w:r>
      <w:r w:rsidR="00CE36D0" w:rsidRPr="00235E16">
        <w:rPr>
          <w:rFonts w:cs="Arial"/>
          <w:sz w:val="24"/>
          <w:szCs w:val="24"/>
        </w:rPr>
        <w:t xml:space="preserve"> </w:t>
      </w:r>
      <w:r w:rsidRPr="00235E16">
        <w:rPr>
          <w:rFonts w:cs="Arial"/>
          <w:sz w:val="24"/>
          <w:szCs w:val="24"/>
        </w:rPr>
        <w:t>for our final seminar.</w:t>
      </w:r>
    </w:p>
    <w:p w14:paraId="0E3DBB6D" w14:textId="77777777" w:rsidR="00971ABD" w:rsidRPr="00971ABD" w:rsidRDefault="00971ABD" w:rsidP="00971ABD">
      <w:pPr>
        <w:rPr>
          <w:rFonts w:cs="Arial"/>
          <w:szCs w:val="24"/>
        </w:rPr>
      </w:pPr>
      <w:r w:rsidRPr="00971ABD">
        <w:rPr>
          <w:rFonts w:cs="Arial"/>
          <w:szCs w:val="24"/>
        </w:rPr>
        <w:t xml:space="preserve">Participation bonus marks can be earned by (a) responding to your colleagues’ posts in advance of class; and (b) bringing health-related current events for discussion in Avenue posts or in class. Consider both regular news sites (in Canada: CBC, Globe &amp; Mail, </w:t>
      </w:r>
      <w:proofErr w:type="spellStart"/>
      <w:r w:rsidRPr="00971ABD">
        <w:rPr>
          <w:rFonts w:cs="Arial"/>
          <w:szCs w:val="24"/>
        </w:rPr>
        <w:t>Ipolitics</w:t>
      </w:r>
      <w:proofErr w:type="spellEnd"/>
      <w:r w:rsidRPr="00971ABD">
        <w:rPr>
          <w:rFonts w:cs="Arial"/>
          <w:szCs w:val="24"/>
        </w:rPr>
        <w:t>; US/international: Politico, New York Times, Washington Post, BBC, the Economist) and health specific sites (</w:t>
      </w:r>
      <w:r w:rsidRPr="00971ABD">
        <w:rPr>
          <w:rFonts w:cs="Arial"/>
          <w:b/>
          <w:szCs w:val="24"/>
        </w:rPr>
        <w:t>Healthy Debate.ca is a great option</w:t>
      </w:r>
      <w:r w:rsidRPr="00971ABD">
        <w:rPr>
          <w:rFonts w:cs="Arial"/>
          <w:szCs w:val="24"/>
        </w:rPr>
        <w:t>). Paying attention to health policy issues in the news is a good way to find a topic for your written assignments.</w:t>
      </w:r>
    </w:p>
    <w:p w14:paraId="2F0C8457" w14:textId="77777777" w:rsidR="00971ABD" w:rsidRPr="00235E16" w:rsidRDefault="00971ABD" w:rsidP="00EA59DF">
      <w:pPr>
        <w:pStyle w:val="BodyText3"/>
        <w:rPr>
          <w:rFonts w:cs="Arial"/>
          <w:sz w:val="24"/>
          <w:szCs w:val="24"/>
        </w:rPr>
      </w:pPr>
    </w:p>
    <w:p w14:paraId="72880BE8" w14:textId="45A7715E" w:rsidR="00746B9F" w:rsidRPr="00235E16" w:rsidRDefault="00746B9F" w:rsidP="00746B9F">
      <w:pPr>
        <w:pStyle w:val="Heading2"/>
      </w:pPr>
      <w:bookmarkStart w:id="8" w:name="_Toc534793463"/>
      <w:r w:rsidRPr="00235E16">
        <w:t>Weekly reading posts (10%, ongoing)</w:t>
      </w:r>
      <w:bookmarkEnd w:id="8"/>
    </w:p>
    <w:p w14:paraId="713F30F5" w14:textId="03770EDB" w:rsidR="00EA59DF" w:rsidRPr="00235E16" w:rsidRDefault="00746B9F" w:rsidP="00A950D0">
      <w:pPr>
        <w:pStyle w:val="BodyText3"/>
        <w:rPr>
          <w:rFonts w:cs="Arial"/>
          <w:sz w:val="24"/>
          <w:szCs w:val="24"/>
        </w:rPr>
      </w:pPr>
      <w:r w:rsidRPr="00235E16">
        <w:rPr>
          <w:rFonts w:cs="Arial"/>
          <w:sz w:val="24"/>
          <w:szCs w:val="24"/>
        </w:rPr>
        <w:t xml:space="preserve">To help you prepare for class, you are required to </w:t>
      </w:r>
      <w:r w:rsidRPr="00235E16">
        <w:rPr>
          <w:rFonts w:cs="Arial"/>
          <w:b/>
          <w:sz w:val="24"/>
          <w:szCs w:val="24"/>
        </w:rPr>
        <w:t xml:space="preserve">post a brief (350-500 word) reading response by </w:t>
      </w:r>
      <w:r w:rsidR="00CE36D0">
        <w:rPr>
          <w:rFonts w:cs="Arial"/>
          <w:b/>
          <w:sz w:val="24"/>
          <w:szCs w:val="24"/>
        </w:rPr>
        <w:t>Monday</w:t>
      </w:r>
      <w:r w:rsidRPr="00235E16">
        <w:rPr>
          <w:rFonts w:cs="Arial"/>
          <w:b/>
          <w:sz w:val="24"/>
          <w:szCs w:val="24"/>
        </w:rPr>
        <w:t xml:space="preserve"> at 11.59pm.</w:t>
      </w:r>
      <w:r w:rsidRPr="00235E16">
        <w:rPr>
          <w:rFonts w:cs="Arial"/>
          <w:sz w:val="24"/>
          <w:szCs w:val="24"/>
        </w:rPr>
        <w:t xml:space="preserve"> The response should include a preliminary answer to at least one question from the weekly guide I will post </w:t>
      </w:r>
      <w:r w:rsidR="00CE36D0">
        <w:rPr>
          <w:rFonts w:cs="Arial"/>
          <w:sz w:val="24"/>
          <w:szCs w:val="24"/>
        </w:rPr>
        <w:t>Fridays</w:t>
      </w:r>
      <w:r w:rsidRPr="00235E16">
        <w:rPr>
          <w:rFonts w:cs="Arial"/>
          <w:sz w:val="24"/>
          <w:szCs w:val="24"/>
        </w:rPr>
        <w:t xml:space="preserve"> by </w:t>
      </w:r>
      <w:r w:rsidR="00CE36D0">
        <w:rPr>
          <w:rFonts w:cs="Arial"/>
          <w:sz w:val="24"/>
          <w:szCs w:val="24"/>
        </w:rPr>
        <w:t>9a</w:t>
      </w:r>
      <w:r w:rsidRPr="00235E16">
        <w:rPr>
          <w:rFonts w:cs="Arial"/>
          <w:sz w:val="24"/>
          <w:szCs w:val="24"/>
        </w:rPr>
        <w:t xml:space="preserve">m, at least one additional discussion question, and indicate familiarity with all the assigned readings. </w:t>
      </w:r>
      <w:r w:rsidRPr="00235E16">
        <w:rPr>
          <w:rFonts w:cs="Arial"/>
          <w:sz w:val="24"/>
          <w:szCs w:val="24"/>
          <w:lang w:val="en-CA"/>
        </w:rPr>
        <w:t xml:space="preserve">The best type of questions will be those that bridge, juxtapose, or somehow address multiple readings, highlighting theoretical or methodological similarities and differences. </w:t>
      </w:r>
      <w:r w:rsidRPr="00235E16">
        <w:rPr>
          <w:rFonts w:cs="Arial"/>
          <w:sz w:val="24"/>
          <w:szCs w:val="24"/>
        </w:rPr>
        <w:t>You should read your col</w:t>
      </w:r>
      <w:r w:rsidR="00971ABD">
        <w:rPr>
          <w:rFonts w:cs="Arial"/>
          <w:sz w:val="24"/>
          <w:szCs w:val="24"/>
        </w:rPr>
        <w:t>leagues’ responses before class.</w:t>
      </w:r>
      <w:r w:rsidRPr="00235E16">
        <w:rPr>
          <w:rFonts w:cs="Arial"/>
          <w:sz w:val="24"/>
          <w:szCs w:val="24"/>
        </w:rPr>
        <w:t xml:space="preserve"> You can skip one week’s response without notice or penalty.</w:t>
      </w:r>
    </w:p>
    <w:p w14:paraId="61E352E7" w14:textId="42BC6A93" w:rsidR="00204FED" w:rsidRPr="00235E16" w:rsidRDefault="00971ABD" w:rsidP="00204FED">
      <w:pPr>
        <w:pStyle w:val="Heading2"/>
      </w:pPr>
      <w:bookmarkStart w:id="9" w:name="_Toc534793464"/>
      <w:r>
        <w:lastRenderedPageBreak/>
        <w:t>Discussion leadership (5</w:t>
      </w:r>
      <w:r w:rsidR="00746B9F" w:rsidRPr="00235E16">
        <w:t>%</w:t>
      </w:r>
      <w:r w:rsidR="00204FED" w:rsidRPr="00235E16">
        <w:t>, date determined first week</w:t>
      </w:r>
      <w:r w:rsidR="00746B9F" w:rsidRPr="00235E16">
        <w:t>)</w:t>
      </w:r>
      <w:bookmarkEnd w:id="9"/>
    </w:p>
    <w:p w14:paraId="4C9C0C87" w14:textId="3A1F95C8" w:rsidR="00204FED" w:rsidRPr="00235E16" w:rsidRDefault="00204FED" w:rsidP="00204FED">
      <w:pPr>
        <w:rPr>
          <w:rFonts w:cs="Arial"/>
          <w:szCs w:val="24"/>
        </w:rPr>
      </w:pPr>
      <w:r w:rsidRPr="00235E16">
        <w:rPr>
          <w:rFonts w:cs="Arial"/>
          <w:szCs w:val="24"/>
        </w:rPr>
        <w:t xml:space="preserve">You will take on the role of discussion leader for one week, in some cases in collaboration with a fellow student. It will be the discussion leader(s)’ responsibility to review their colleagues’ responses on Avenue and </w:t>
      </w:r>
      <w:r w:rsidRPr="00235E16">
        <w:rPr>
          <w:rFonts w:cs="Arial"/>
          <w:b/>
          <w:szCs w:val="24"/>
        </w:rPr>
        <w:t>compile a discussion guide, submitted to me by</w:t>
      </w:r>
      <w:r w:rsidR="00746B9F" w:rsidRPr="00235E16">
        <w:rPr>
          <w:rFonts w:cs="Arial"/>
          <w:b/>
          <w:szCs w:val="24"/>
        </w:rPr>
        <w:t xml:space="preserve"> email no later than </w:t>
      </w:r>
      <w:r w:rsidR="00971ABD">
        <w:rPr>
          <w:rFonts w:cs="Arial"/>
          <w:b/>
          <w:szCs w:val="24"/>
        </w:rPr>
        <w:t>Wednesday</w:t>
      </w:r>
      <w:r w:rsidR="00746B9F" w:rsidRPr="00235E16">
        <w:rPr>
          <w:rFonts w:cs="Arial"/>
          <w:b/>
          <w:szCs w:val="24"/>
        </w:rPr>
        <w:t xml:space="preserve"> at 3</w:t>
      </w:r>
      <w:r w:rsidRPr="00235E16">
        <w:rPr>
          <w:rFonts w:cs="Arial"/>
          <w:b/>
          <w:szCs w:val="24"/>
        </w:rPr>
        <w:t>pm.</w:t>
      </w:r>
      <w:r w:rsidRPr="00235E16">
        <w:rPr>
          <w:rFonts w:cs="Arial"/>
          <w:szCs w:val="24"/>
        </w:rPr>
        <w:t xml:space="preserve"> The guide should include my questions and a synthesis of student questions (so you will have to merge, edit, and organize according to the themes you identify). During class, the discussion leader(s) will introduce the questions and key themes, explain why they are interesting or important, and initiate the discussion by proposing some answers, and facilitate throughout the seminar. The discussion guide should be prepared jointly when there is more than one student assigned to the week.</w:t>
      </w:r>
    </w:p>
    <w:p w14:paraId="1701F616" w14:textId="414A5B12" w:rsidR="00971ABD" w:rsidRPr="0078797E" w:rsidRDefault="00971ABD" w:rsidP="00971ABD">
      <w:pPr>
        <w:pStyle w:val="Heading2"/>
      </w:pPr>
      <w:bookmarkStart w:id="10" w:name="_Toc534793465"/>
      <w:r w:rsidRPr="0078797E">
        <w:t>Topic statement and bibliography (</w:t>
      </w:r>
      <w:r>
        <w:t xml:space="preserve">10%, </w:t>
      </w:r>
      <w:r w:rsidRPr="0078797E">
        <w:t xml:space="preserve">Due </w:t>
      </w:r>
      <w:r>
        <w:t>February 13</w:t>
      </w:r>
      <w:r w:rsidRPr="0078797E">
        <w:t xml:space="preserve"> at </w:t>
      </w:r>
      <w:r>
        <w:t>11.59</w:t>
      </w:r>
      <w:r w:rsidRPr="0078797E">
        <w:t>, by email)</w:t>
      </w:r>
      <w:bookmarkEnd w:id="10"/>
    </w:p>
    <w:p w14:paraId="44CA83E4" w14:textId="77777777" w:rsidR="00971ABD" w:rsidRPr="00971ABD" w:rsidRDefault="00971ABD" w:rsidP="00971ABD">
      <w:pPr>
        <w:rPr>
          <w:rFonts w:cs="Arial"/>
          <w:szCs w:val="24"/>
        </w:rPr>
      </w:pPr>
      <w:r w:rsidRPr="00971ABD">
        <w:rPr>
          <w:rFonts w:cs="Arial"/>
          <w:szCs w:val="24"/>
        </w:rPr>
        <w:t>1 page, singe spaced, 12-point font + bibliography</w:t>
      </w:r>
    </w:p>
    <w:p w14:paraId="30AD99A0" w14:textId="4B1B1D48" w:rsidR="00971ABD" w:rsidRPr="00971ABD" w:rsidRDefault="00971ABD" w:rsidP="00971ABD">
      <w:pPr>
        <w:rPr>
          <w:rFonts w:cs="Arial"/>
          <w:szCs w:val="24"/>
        </w:rPr>
      </w:pPr>
      <w:r w:rsidRPr="00971ABD">
        <w:rPr>
          <w:rFonts w:cs="Arial"/>
          <w:szCs w:val="24"/>
        </w:rPr>
        <w:t>In order to benefit from early feedback on your topic and a chance to discuss the problem with your colleagues, students should prepare a one-page overview of their proposed policy problem and an annotated bibliography of at least five sources. This assignment is due by email by midnight the day before our scheduled writing workshop so I can assign students a discussion partner for the workshop. Because this assignment will form the basis for collaborative work, late assignments are not acceptable.</w:t>
      </w:r>
    </w:p>
    <w:p w14:paraId="30249F8E" w14:textId="3C6365D5" w:rsidR="00971ABD" w:rsidRPr="0078797E" w:rsidRDefault="00971ABD" w:rsidP="00971ABD">
      <w:pPr>
        <w:pStyle w:val="Heading2"/>
      </w:pPr>
      <w:bookmarkStart w:id="11" w:name="_Toc534793466"/>
      <w:r w:rsidRPr="0078797E">
        <w:t>Information note (</w:t>
      </w:r>
      <w:r w:rsidR="00E941F9">
        <w:t>25</w:t>
      </w:r>
      <w:r w:rsidR="00265DBC">
        <w:t xml:space="preserve">%, </w:t>
      </w:r>
      <w:r w:rsidRPr="0078797E">
        <w:t xml:space="preserve">Due </w:t>
      </w:r>
      <w:r w:rsidR="000B0393">
        <w:t>March 13 by 11.59pm</w:t>
      </w:r>
      <w:r w:rsidRPr="0078797E">
        <w:t xml:space="preserve">, </w:t>
      </w:r>
      <w:r w:rsidR="000B0393">
        <w:t>by email</w:t>
      </w:r>
      <w:r w:rsidRPr="0078797E">
        <w:t>)</w:t>
      </w:r>
      <w:bookmarkEnd w:id="11"/>
    </w:p>
    <w:p w14:paraId="7A096F41" w14:textId="77777777" w:rsidR="00971ABD" w:rsidRPr="00971ABD" w:rsidRDefault="00971ABD" w:rsidP="00971ABD">
      <w:pPr>
        <w:rPr>
          <w:rFonts w:cs="Arial"/>
          <w:szCs w:val="24"/>
        </w:rPr>
      </w:pPr>
      <w:r w:rsidRPr="00971ABD">
        <w:rPr>
          <w:rFonts w:cs="Arial"/>
          <w:szCs w:val="24"/>
        </w:rPr>
        <w:t>2-3 pages, single spaced, 12-point font + bibliography</w:t>
      </w:r>
    </w:p>
    <w:p w14:paraId="6CD4E84A" w14:textId="159F7973" w:rsidR="00971ABD" w:rsidRPr="00971ABD" w:rsidRDefault="00971ABD" w:rsidP="00971ABD">
      <w:pPr>
        <w:rPr>
          <w:rFonts w:cs="Arial"/>
          <w:szCs w:val="24"/>
        </w:rPr>
      </w:pPr>
      <w:r w:rsidRPr="00971ABD">
        <w:rPr>
          <w:rFonts w:cs="Arial"/>
          <w:szCs w:val="24"/>
        </w:rPr>
        <w:t xml:space="preserve">Describe a health policy problem in a jurisdiction of your choice (Canadian province, federal level in Canada, international jurisdiction). Your memo should be addressed to a policy director in a government department of health and should be aimed at convincing </w:t>
      </w:r>
      <w:r>
        <w:rPr>
          <w:rFonts w:cs="Arial"/>
          <w:szCs w:val="24"/>
        </w:rPr>
        <w:t>them</w:t>
      </w:r>
      <w:r w:rsidRPr="00971ABD">
        <w:rPr>
          <w:rFonts w:cs="Arial"/>
          <w:szCs w:val="24"/>
        </w:rPr>
        <w:t xml:space="preserve"> that the problem requires government attention. It should include appropriate citations to a variety of academic and non-academic sources.</w:t>
      </w:r>
    </w:p>
    <w:p w14:paraId="3F0BD391" w14:textId="77777777" w:rsidR="00971ABD" w:rsidRPr="00971ABD" w:rsidRDefault="00971ABD" w:rsidP="00971ABD">
      <w:pPr>
        <w:rPr>
          <w:rFonts w:cs="Arial"/>
          <w:szCs w:val="24"/>
        </w:rPr>
      </w:pPr>
      <w:r w:rsidRPr="00971ABD">
        <w:rPr>
          <w:rFonts w:cs="Arial"/>
          <w:szCs w:val="24"/>
        </w:rPr>
        <w:t xml:space="preserve">The memo will include a statement of purpose (one sentence), a summary, context (what relevant policies exist, who are the main actors or affected groups), considerations (why the issue is problematic in terms of cost containment, efficiency, equity, or responsiveness or some other clearly articulated criteria) and next steps. We will discuss the components in more detail in class. Note that the problem may be specific to a certain policy (for example, high patient copayments for prescription drugs) </w:t>
      </w:r>
      <w:r w:rsidRPr="00971ABD">
        <w:rPr>
          <w:rFonts w:cs="Arial"/>
          <w:i/>
          <w:szCs w:val="24"/>
        </w:rPr>
        <w:t>or</w:t>
      </w:r>
      <w:r w:rsidRPr="00971ABD">
        <w:rPr>
          <w:rFonts w:cs="Arial"/>
          <w:szCs w:val="24"/>
        </w:rPr>
        <w:t xml:space="preserve"> related to a linked set of policies (high surgical wait times), as long as it can be described in some detail in the space allotted.</w:t>
      </w:r>
    </w:p>
    <w:p w14:paraId="43C038BE" w14:textId="77777777" w:rsidR="00971ABD" w:rsidRPr="0078797E" w:rsidRDefault="00971ABD" w:rsidP="00971ABD">
      <w:pPr>
        <w:rPr>
          <w:rFonts w:ascii="Helvetica" w:hAnsi="Helvetica"/>
          <w:sz w:val="22"/>
        </w:rPr>
      </w:pPr>
    </w:p>
    <w:p w14:paraId="7D807CA6" w14:textId="1145719F" w:rsidR="00746B9F" w:rsidRPr="00235E16" w:rsidRDefault="00746B9F" w:rsidP="00746B9F">
      <w:pPr>
        <w:rPr>
          <w:rFonts w:cs="Arial"/>
          <w:szCs w:val="24"/>
        </w:rPr>
      </w:pPr>
    </w:p>
    <w:p w14:paraId="7221EA21" w14:textId="0B3AF72F" w:rsidR="000B0393" w:rsidRDefault="000B0393" w:rsidP="000B0393">
      <w:pPr>
        <w:pStyle w:val="Heading2"/>
      </w:pPr>
      <w:bookmarkStart w:id="12" w:name="_Toc534793467"/>
      <w:r w:rsidRPr="0078797E">
        <w:lastRenderedPageBreak/>
        <w:t>Decision note (</w:t>
      </w:r>
      <w:r w:rsidR="00265DBC">
        <w:t xml:space="preserve">35%, </w:t>
      </w:r>
      <w:r w:rsidRPr="0078797E">
        <w:t xml:space="preserve">Due </w:t>
      </w:r>
      <w:r>
        <w:t>April 8 by 11.59pm, by email</w:t>
      </w:r>
      <w:r w:rsidRPr="0078797E">
        <w:t>)</w:t>
      </w:r>
      <w:bookmarkEnd w:id="12"/>
    </w:p>
    <w:p w14:paraId="4D25C82A" w14:textId="1A1FE415" w:rsidR="000B0393" w:rsidRPr="000B0393" w:rsidRDefault="000B0393" w:rsidP="000B0393">
      <w:pPr>
        <w:rPr>
          <w:rFonts w:cs="Arial"/>
          <w:b/>
          <w:szCs w:val="24"/>
        </w:rPr>
      </w:pPr>
      <w:r w:rsidRPr="000B0393">
        <w:rPr>
          <w:rFonts w:cs="Arial"/>
          <w:szCs w:val="24"/>
        </w:rPr>
        <w:t>3-4 pages, single spaced, 12-point font + bibliography</w:t>
      </w:r>
    </w:p>
    <w:p w14:paraId="7A72CB9E" w14:textId="77777777" w:rsidR="000B0393" w:rsidRPr="000B0393" w:rsidRDefault="000B0393" w:rsidP="000B0393">
      <w:pPr>
        <w:rPr>
          <w:rFonts w:cs="Arial"/>
          <w:szCs w:val="24"/>
        </w:rPr>
      </w:pPr>
      <w:r w:rsidRPr="000B0393">
        <w:rPr>
          <w:rFonts w:cs="Arial"/>
          <w:szCs w:val="24"/>
        </w:rPr>
        <w:t>Your information note has convinced the department that action must be taken; now you need to prepare a decision memo for the minister or deputy minister. The format of the memo is similar to the standard decision memo in many Canadian governments, except it is somewhat longer (brevity is an advanced skill!) and should include citations like any academic work.</w:t>
      </w:r>
    </w:p>
    <w:p w14:paraId="41E8C47C" w14:textId="77777777" w:rsidR="000B0393" w:rsidRPr="000B0393" w:rsidRDefault="000B0393" w:rsidP="000B0393">
      <w:pPr>
        <w:rPr>
          <w:rFonts w:cs="Arial"/>
          <w:szCs w:val="24"/>
        </w:rPr>
      </w:pPr>
      <w:r w:rsidRPr="000B0393">
        <w:rPr>
          <w:rFonts w:cs="Arial"/>
          <w:szCs w:val="24"/>
        </w:rPr>
        <w:t>The memo will include a statement of purpose (one sentence), a summary, context (history of the problem – the highlights from your backgrounder), considerations (presentation of policy alternatives) and a recommendation. We will discuss the components in more detail in class.</w:t>
      </w:r>
    </w:p>
    <w:p w14:paraId="3A1320DD" w14:textId="3770D217" w:rsidR="00204FED" w:rsidRPr="00235E16" w:rsidRDefault="00204FED" w:rsidP="00EA59DF">
      <w:pPr>
        <w:rPr>
          <w:rFonts w:ascii="Helvetica" w:hAnsi="Helvetica"/>
          <w:sz w:val="22"/>
        </w:rPr>
      </w:pPr>
    </w:p>
    <w:p w14:paraId="325457A0" w14:textId="77777777" w:rsidR="009F7FC2" w:rsidRPr="00235E16" w:rsidRDefault="009F7FC2" w:rsidP="009F7FC2">
      <w:pPr>
        <w:pStyle w:val="Heading1"/>
      </w:pPr>
      <w:bookmarkStart w:id="13" w:name="_Toc534793468"/>
      <w:r w:rsidRPr="00235E16">
        <w:t>Weekly Course Schedule and Required Readings</w:t>
      </w:r>
      <w:bookmarkEnd w:id="13"/>
    </w:p>
    <w:p w14:paraId="68B270FC" w14:textId="3C7293C6" w:rsidR="002B1B46" w:rsidRPr="00235E16" w:rsidRDefault="002B1B46" w:rsidP="00D778AA">
      <w:pPr>
        <w:pStyle w:val="Heading2"/>
      </w:pPr>
      <w:bookmarkStart w:id="14" w:name="_Toc534793469"/>
      <w:r w:rsidRPr="00235E16">
        <w:t xml:space="preserve">Week 1 </w:t>
      </w:r>
      <w:r w:rsidR="000213DC" w:rsidRPr="00235E16">
        <w:t>(</w:t>
      </w:r>
      <w:r w:rsidR="000B0393">
        <w:t>Jan 10</w:t>
      </w:r>
      <w:r w:rsidR="000213DC" w:rsidRPr="00235E16">
        <w:t>)</w:t>
      </w:r>
      <w:r w:rsidR="00DA1696" w:rsidRPr="00235E16">
        <w:t xml:space="preserve"> Introduction </w:t>
      </w:r>
      <w:r w:rsidR="000B0393">
        <w:t>and course overview</w:t>
      </w:r>
      <w:bookmarkEnd w:id="14"/>
    </w:p>
    <w:p w14:paraId="1E65093E" w14:textId="01D05A35" w:rsidR="00063B49" w:rsidRPr="00C102A9" w:rsidRDefault="000B0393" w:rsidP="00C102A9">
      <w:pPr>
        <w:spacing w:after="0" w:line="240" w:lineRule="auto"/>
        <w:rPr>
          <w:rFonts w:cs="Arial"/>
          <w:szCs w:val="24"/>
        </w:rPr>
      </w:pPr>
      <w:r>
        <w:rPr>
          <w:rFonts w:cs="Arial"/>
          <w:szCs w:val="24"/>
        </w:rPr>
        <w:t>No assigned readings</w:t>
      </w:r>
    </w:p>
    <w:p w14:paraId="07683085" w14:textId="5B73FB8B" w:rsidR="000B0393" w:rsidRDefault="000B0393" w:rsidP="00C102A9">
      <w:pPr>
        <w:pStyle w:val="Heading1"/>
      </w:pPr>
      <w:bookmarkStart w:id="15" w:name="_Toc534793470"/>
      <w:r>
        <w:t>Module I: How does health policy work in Canada?</w:t>
      </w:r>
      <w:bookmarkEnd w:id="15"/>
    </w:p>
    <w:p w14:paraId="0F040AB7" w14:textId="79230E2C" w:rsidR="00063B49" w:rsidRPr="000B0393" w:rsidRDefault="002B1B46" w:rsidP="000B0393">
      <w:pPr>
        <w:pStyle w:val="Heading2"/>
      </w:pPr>
      <w:bookmarkStart w:id="16" w:name="_Toc534793471"/>
      <w:r w:rsidRPr="00235E16">
        <w:t>Week 2</w:t>
      </w:r>
      <w:r w:rsidR="000213DC" w:rsidRPr="00235E16">
        <w:t xml:space="preserve"> (</w:t>
      </w:r>
      <w:r w:rsidR="000B0393">
        <w:t>Jan 17</w:t>
      </w:r>
      <w:r w:rsidR="000213DC" w:rsidRPr="00235E16">
        <w:t>)</w:t>
      </w:r>
      <w:r w:rsidR="00FE4C33" w:rsidRPr="00235E16">
        <w:t xml:space="preserve"> </w:t>
      </w:r>
      <w:r w:rsidR="000B0393">
        <w:t>Why health policy?</w:t>
      </w:r>
      <w:bookmarkEnd w:id="16"/>
    </w:p>
    <w:p w14:paraId="042CBC45" w14:textId="72EF46A6" w:rsidR="002B1B46" w:rsidRPr="00235E16" w:rsidRDefault="00FE4C33" w:rsidP="00063B49">
      <w:r w:rsidRPr="00235E16">
        <w:t>Required r</w:t>
      </w:r>
      <w:r w:rsidR="002B1B46" w:rsidRPr="00235E16">
        <w:t>eadings:</w:t>
      </w:r>
    </w:p>
    <w:p w14:paraId="4A842ED6" w14:textId="77777777" w:rsidR="000B0393" w:rsidRPr="00586143" w:rsidRDefault="000B0393" w:rsidP="009F03A3">
      <w:pPr>
        <w:pStyle w:val="ListParagraph"/>
        <w:numPr>
          <w:ilvl w:val="0"/>
          <w:numId w:val="5"/>
        </w:numPr>
        <w:spacing w:after="0" w:line="240" w:lineRule="auto"/>
        <w:rPr>
          <w:rFonts w:cs="Arial"/>
        </w:rPr>
      </w:pPr>
      <w:proofErr w:type="spellStart"/>
      <w:r w:rsidRPr="00586143">
        <w:rPr>
          <w:rFonts w:cs="Arial"/>
        </w:rPr>
        <w:t>Fierlbeck</w:t>
      </w:r>
      <w:proofErr w:type="spellEnd"/>
      <w:r w:rsidRPr="00586143">
        <w:rPr>
          <w:rFonts w:cs="Arial"/>
        </w:rPr>
        <w:t xml:space="preserve">, Katherine preface, </w:t>
      </w:r>
      <w:proofErr w:type="spellStart"/>
      <w:r w:rsidRPr="00586143">
        <w:rPr>
          <w:rFonts w:cs="Arial"/>
        </w:rPr>
        <w:t>Ch</w:t>
      </w:r>
      <w:proofErr w:type="spellEnd"/>
      <w:r w:rsidRPr="00586143">
        <w:rPr>
          <w:rFonts w:cs="Arial"/>
        </w:rPr>
        <w:t xml:space="preserve"> 1 p.1-8, 40-43</w:t>
      </w:r>
    </w:p>
    <w:p w14:paraId="4C05B7AF" w14:textId="77777777" w:rsidR="000B0393" w:rsidRPr="00586143" w:rsidRDefault="000B0393" w:rsidP="009F03A3">
      <w:pPr>
        <w:pStyle w:val="ListParagraph"/>
        <w:numPr>
          <w:ilvl w:val="0"/>
          <w:numId w:val="5"/>
        </w:numPr>
        <w:spacing w:after="0" w:line="240" w:lineRule="auto"/>
        <w:rPr>
          <w:rFonts w:cs="Arial"/>
        </w:rPr>
      </w:pPr>
      <w:r w:rsidRPr="00586143">
        <w:rPr>
          <w:rFonts w:cs="Arial"/>
        </w:rPr>
        <w:t xml:space="preserve">Reading, Jeffrey, Charlotte </w:t>
      </w:r>
      <w:proofErr w:type="spellStart"/>
      <w:r w:rsidRPr="00586143">
        <w:rPr>
          <w:rFonts w:cs="Arial"/>
        </w:rPr>
        <w:t>Loppie</w:t>
      </w:r>
      <w:proofErr w:type="spellEnd"/>
      <w:r w:rsidRPr="00586143">
        <w:rPr>
          <w:rFonts w:cs="Arial"/>
        </w:rPr>
        <w:t>, and John O’Neil. 2016. “Indigenous Health Systems Governance.” International Journal of Health Governance 21 (4): 222–28. doi:10.1108/IJHG-08-2016-0044.</w:t>
      </w:r>
    </w:p>
    <w:p w14:paraId="12649CA7" w14:textId="77777777" w:rsidR="000B0393" w:rsidRPr="000B0393" w:rsidRDefault="000B0393" w:rsidP="009F03A3">
      <w:pPr>
        <w:pStyle w:val="ListParagraph"/>
        <w:numPr>
          <w:ilvl w:val="0"/>
          <w:numId w:val="5"/>
        </w:numPr>
        <w:spacing w:after="0" w:line="240" w:lineRule="auto"/>
        <w:rPr>
          <w:rFonts w:cs="Arial"/>
        </w:rPr>
      </w:pPr>
      <w:r w:rsidRPr="000B0393">
        <w:rPr>
          <w:rFonts w:cs="Arial"/>
        </w:rPr>
        <w:t>Rosen, Harvey et al (2003), Selections on insurance problems and health care, p.36-38 and 253-255, in Public Finance in Canada, 2nd Canadian edition. Toronto: McGraw-Hill Ryerson</w:t>
      </w:r>
    </w:p>
    <w:p w14:paraId="6AB62F7D" w14:textId="48C4E97E" w:rsidR="00063B49" w:rsidRPr="000B0393" w:rsidRDefault="000B0393" w:rsidP="009F03A3">
      <w:pPr>
        <w:pStyle w:val="ListParagraph"/>
        <w:numPr>
          <w:ilvl w:val="0"/>
          <w:numId w:val="5"/>
        </w:numPr>
        <w:spacing w:after="0" w:line="240" w:lineRule="auto"/>
        <w:rPr>
          <w:rFonts w:cs="Arial"/>
        </w:rPr>
      </w:pPr>
      <w:r w:rsidRPr="00586143">
        <w:rPr>
          <w:rFonts w:cs="Arial"/>
        </w:rPr>
        <w:t>Stone, Deborah (2011). Moral Hazard. Journal of Health Politics, Policy and Law, 36(5), 887–896.</w:t>
      </w:r>
    </w:p>
    <w:p w14:paraId="670C1EDC" w14:textId="77777777" w:rsidR="00063B49" w:rsidRPr="00235E16" w:rsidRDefault="00063B49" w:rsidP="00E27FC5">
      <w:pPr>
        <w:spacing w:after="120"/>
        <w:ind w:left="720" w:right="-518"/>
        <w:rPr>
          <w:rFonts w:cs="Arial"/>
          <w:color w:val="000000" w:themeColor="text1"/>
        </w:rPr>
      </w:pPr>
    </w:p>
    <w:p w14:paraId="7DCA088F" w14:textId="48B713DD" w:rsidR="00132447" w:rsidRPr="00235E16" w:rsidRDefault="00132447" w:rsidP="00132447">
      <w:pPr>
        <w:pStyle w:val="Heading2"/>
      </w:pPr>
      <w:bookmarkStart w:id="17" w:name="_Toc534793472"/>
      <w:r w:rsidRPr="00235E16">
        <w:t>Week 3</w:t>
      </w:r>
      <w:r w:rsidR="000213DC" w:rsidRPr="00235E16">
        <w:t xml:space="preserve"> (</w:t>
      </w:r>
      <w:r w:rsidR="000B0393">
        <w:t>Jan 24</w:t>
      </w:r>
      <w:r w:rsidR="000213DC" w:rsidRPr="00235E16">
        <w:t>)</w:t>
      </w:r>
      <w:r w:rsidR="00FE4C33" w:rsidRPr="00235E16">
        <w:t xml:space="preserve"> </w:t>
      </w:r>
      <w:r w:rsidR="000B0393">
        <w:t>Who pays for health care?</w:t>
      </w:r>
      <w:bookmarkEnd w:id="17"/>
    </w:p>
    <w:p w14:paraId="7351CBDD" w14:textId="1B403121" w:rsidR="00132447" w:rsidRPr="00235E16" w:rsidRDefault="00132447" w:rsidP="00063B49">
      <w:r w:rsidRPr="00235E16">
        <w:t>R</w:t>
      </w:r>
      <w:r w:rsidR="00FE4C33" w:rsidRPr="00235E16">
        <w:t>equired r</w:t>
      </w:r>
      <w:r w:rsidRPr="00235E16">
        <w:t>eadings:</w:t>
      </w:r>
    </w:p>
    <w:p w14:paraId="3281E798" w14:textId="77777777" w:rsidR="000B0393" w:rsidRPr="00586143" w:rsidRDefault="000B0393" w:rsidP="009F03A3">
      <w:pPr>
        <w:pStyle w:val="ListParagraph"/>
        <w:numPr>
          <w:ilvl w:val="0"/>
          <w:numId w:val="6"/>
        </w:numPr>
        <w:spacing w:after="0" w:line="240" w:lineRule="auto"/>
        <w:rPr>
          <w:rFonts w:cs="Arial"/>
        </w:rPr>
      </w:pPr>
      <w:proofErr w:type="spellStart"/>
      <w:r w:rsidRPr="00586143">
        <w:rPr>
          <w:rFonts w:cs="Arial"/>
        </w:rPr>
        <w:t>Fierlbeck</w:t>
      </w:r>
      <w:proofErr w:type="spellEnd"/>
      <w:r w:rsidRPr="00586143">
        <w:rPr>
          <w:rFonts w:cs="Arial"/>
        </w:rPr>
        <w:t xml:space="preserve">, Katherine </w:t>
      </w:r>
      <w:proofErr w:type="spellStart"/>
      <w:r w:rsidRPr="00586143">
        <w:rPr>
          <w:rFonts w:cs="Arial"/>
        </w:rPr>
        <w:t>Ch</w:t>
      </w:r>
      <w:proofErr w:type="spellEnd"/>
      <w:r w:rsidRPr="00586143">
        <w:rPr>
          <w:rFonts w:cs="Arial"/>
        </w:rPr>
        <w:t xml:space="preserve"> 1 Funding Health Care p.9-39</w:t>
      </w:r>
    </w:p>
    <w:p w14:paraId="3C9E71AF" w14:textId="77777777" w:rsidR="000B0393" w:rsidRPr="00586143" w:rsidRDefault="000B0393" w:rsidP="009F03A3">
      <w:pPr>
        <w:pStyle w:val="ListParagraph"/>
        <w:numPr>
          <w:ilvl w:val="0"/>
          <w:numId w:val="6"/>
        </w:numPr>
        <w:spacing w:after="0" w:line="240" w:lineRule="auto"/>
        <w:rPr>
          <w:rFonts w:cs="Arial"/>
        </w:rPr>
      </w:pPr>
      <w:proofErr w:type="spellStart"/>
      <w:r w:rsidRPr="00586143">
        <w:rPr>
          <w:rFonts w:cs="Arial"/>
        </w:rPr>
        <w:t>Tuohy</w:t>
      </w:r>
      <w:proofErr w:type="spellEnd"/>
      <w:r w:rsidRPr="00586143">
        <w:rPr>
          <w:rFonts w:cs="Arial"/>
        </w:rPr>
        <w:t>, Carolyn Hughes, Colleen M. Flood, and Mark Stabile. 2004. “How Does Private Finance Affect Public Health Care Systems? Marshaling the Evidence from OECD Nations.” Journal of Health Politics, Policy and Law 29 (3) (June 1): 359–396.</w:t>
      </w:r>
    </w:p>
    <w:p w14:paraId="71850114" w14:textId="77777777" w:rsidR="00063B49" w:rsidRPr="00235E16" w:rsidRDefault="00063B49" w:rsidP="00132447">
      <w:pPr>
        <w:pStyle w:val="Heading2"/>
      </w:pPr>
    </w:p>
    <w:p w14:paraId="66901E3C" w14:textId="6E07E090" w:rsidR="00063B49" w:rsidRPr="00235E16" w:rsidRDefault="00132447" w:rsidP="000B0393">
      <w:pPr>
        <w:pStyle w:val="Heading2"/>
      </w:pPr>
      <w:bookmarkStart w:id="18" w:name="_Toc534793473"/>
      <w:r w:rsidRPr="00235E16">
        <w:t>Week 4</w:t>
      </w:r>
      <w:r w:rsidR="000213DC" w:rsidRPr="00235E16">
        <w:t xml:space="preserve"> (</w:t>
      </w:r>
      <w:r w:rsidR="000B0393">
        <w:t>Jan 31</w:t>
      </w:r>
      <w:r w:rsidR="000213DC" w:rsidRPr="00235E16">
        <w:t>)</w:t>
      </w:r>
      <w:r w:rsidR="00FE4C33" w:rsidRPr="00235E16">
        <w:t xml:space="preserve"> </w:t>
      </w:r>
      <w:r w:rsidR="000B0393" w:rsidRPr="00611B07">
        <w:t>Who makes decisions about health care? Federal and provincial governments</w:t>
      </w:r>
      <w:bookmarkEnd w:id="18"/>
      <w:r w:rsidR="000B0393" w:rsidRPr="00235E16">
        <w:t xml:space="preserve"> </w:t>
      </w:r>
    </w:p>
    <w:p w14:paraId="1EC5FC15" w14:textId="6C4AB2F7" w:rsidR="00132447" w:rsidRPr="00235E16" w:rsidRDefault="00FE4C33" w:rsidP="00063B49">
      <w:r w:rsidRPr="00235E16">
        <w:t>Required r</w:t>
      </w:r>
      <w:r w:rsidR="00132447" w:rsidRPr="00235E16">
        <w:t>eadings:</w:t>
      </w:r>
    </w:p>
    <w:p w14:paraId="738F24DD" w14:textId="77777777" w:rsidR="000B0393" w:rsidRPr="00586143" w:rsidRDefault="000B0393" w:rsidP="009F03A3">
      <w:pPr>
        <w:pStyle w:val="ListParagraph"/>
        <w:numPr>
          <w:ilvl w:val="0"/>
          <w:numId w:val="8"/>
        </w:numPr>
        <w:spacing w:after="0" w:line="240" w:lineRule="auto"/>
        <w:rPr>
          <w:rFonts w:cs="Arial"/>
        </w:rPr>
      </w:pPr>
      <w:proofErr w:type="spellStart"/>
      <w:r w:rsidRPr="00586143">
        <w:rPr>
          <w:rFonts w:cs="Arial"/>
        </w:rPr>
        <w:t>Fierlbeck</w:t>
      </w:r>
      <w:proofErr w:type="spellEnd"/>
      <w:r w:rsidRPr="00586143">
        <w:rPr>
          <w:rFonts w:cs="Arial"/>
        </w:rPr>
        <w:t xml:space="preserve">, Katherine </w:t>
      </w:r>
      <w:proofErr w:type="spellStart"/>
      <w:r w:rsidRPr="00586143">
        <w:rPr>
          <w:rFonts w:cs="Arial"/>
        </w:rPr>
        <w:t>Ch</w:t>
      </w:r>
      <w:proofErr w:type="spellEnd"/>
      <w:r w:rsidRPr="00586143">
        <w:rPr>
          <w:rFonts w:cs="Arial"/>
        </w:rPr>
        <w:t xml:space="preserve"> 2 Intergovernmental Relations</w:t>
      </w:r>
    </w:p>
    <w:p w14:paraId="5586193C" w14:textId="77777777" w:rsidR="000B0393" w:rsidRPr="00586143" w:rsidRDefault="000B0393" w:rsidP="009F03A3">
      <w:pPr>
        <w:pStyle w:val="ListParagraph"/>
        <w:numPr>
          <w:ilvl w:val="0"/>
          <w:numId w:val="8"/>
        </w:numPr>
        <w:spacing w:after="0" w:line="240" w:lineRule="auto"/>
        <w:rPr>
          <w:rFonts w:cs="Arial"/>
        </w:rPr>
      </w:pPr>
      <w:r w:rsidRPr="00586143">
        <w:rPr>
          <w:rFonts w:cs="Arial"/>
        </w:rPr>
        <w:t>Weaver, R. Kent. (1986). The Politics of Blame Avoidance. Journal of Public Policy, 6(4), 371–398.</w:t>
      </w:r>
    </w:p>
    <w:p w14:paraId="148302D1" w14:textId="77777777" w:rsidR="000B0393" w:rsidRPr="00586143" w:rsidRDefault="000B0393" w:rsidP="009F03A3">
      <w:pPr>
        <w:pStyle w:val="ListParagraph"/>
        <w:numPr>
          <w:ilvl w:val="0"/>
          <w:numId w:val="8"/>
        </w:numPr>
        <w:spacing w:after="0" w:line="240" w:lineRule="auto"/>
        <w:rPr>
          <w:rFonts w:cs="Arial"/>
        </w:rPr>
      </w:pPr>
      <w:proofErr w:type="spellStart"/>
      <w:r w:rsidRPr="00586143">
        <w:rPr>
          <w:rFonts w:cs="Arial"/>
        </w:rPr>
        <w:t>Blackstock</w:t>
      </w:r>
      <w:proofErr w:type="spellEnd"/>
      <w:r w:rsidRPr="00586143">
        <w:rPr>
          <w:rFonts w:cs="Arial"/>
        </w:rPr>
        <w:t xml:space="preserve">, Cindy. 2016. “Toward the Full and Proper Implementation of Jordan's Principle: </w:t>
      </w:r>
      <w:proofErr w:type="gramStart"/>
      <w:r w:rsidRPr="00586143">
        <w:rPr>
          <w:rFonts w:cs="Arial"/>
        </w:rPr>
        <w:t>an</w:t>
      </w:r>
      <w:proofErr w:type="gramEnd"/>
      <w:r w:rsidRPr="00586143">
        <w:rPr>
          <w:rFonts w:cs="Arial"/>
        </w:rPr>
        <w:t xml:space="preserve"> Elusive Goal to Date.” </w:t>
      </w:r>
      <w:proofErr w:type="spellStart"/>
      <w:r w:rsidRPr="00586143">
        <w:rPr>
          <w:rFonts w:cs="Arial"/>
        </w:rPr>
        <w:t>Paediatrics</w:t>
      </w:r>
      <w:proofErr w:type="spellEnd"/>
      <w:r w:rsidRPr="00586143">
        <w:rPr>
          <w:rFonts w:cs="Arial"/>
        </w:rPr>
        <w:t xml:space="preserve"> &amp; Child Health 21 (5). Oxford University Press: 245–46. doi:10.1093/</w:t>
      </w:r>
      <w:proofErr w:type="spellStart"/>
      <w:r w:rsidRPr="00586143">
        <w:rPr>
          <w:rFonts w:cs="Arial"/>
        </w:rPr>
        <w:t>pch</w:t>
      </w:r>
      <w:proofErr w:type="spellEnd"/>
      <w:r w:rsidRPr="00586143">
        <w:rPr>
          <w:rFonts w:cs="Arial"/>
        </w:rPr>
        <w:t>/21.5.245.</w:t>
      </w:r>
    </w:p>
    <w:p w14:paraId="010FD49C" w14:textId="77777777" w:rsidR="000B0393" w:rsidRPr="00611B07" w:rsidRDefault="000B0393" w:rsidP="000B0393">
      <w:pPr>
        <w:rPr>
          <w:rFonts w:cs="Arial"/>
          <w:szCs w:val="24"/>
        </w:rPr>
      </w:pPr>
    </w:p>
    <w:p w14:paraId="4455DDBD" w14:textId="77777777" w:rsidR="000B0393" w:rsidRDefault="000B0393" w:rsidP="000B0393">
      <w:pPr>
        <w:rPr>
          <w:rFonts w:cs="Arial"/>
          <w:szCs w:val="24"/>
        </w:rPr>
      </w:pPr>
      <w:r w:rsidRPr="00611B07">
        <w:rPr>
          <w:rFonts w:cs="Arial"/>
          <w:szCs w:val="24"/>
        </w:rPr>
        <w:t>Recommended:</w:t>
      </w:r>
    </w:p>
    <w:p w14:paraId="0B409E73" w14:textId="77777777" w:rsidR="000B0393" w:rsidRPr="000B0393" w:rsidRDefault="000B0393" w:rsidP="009F03A3">
      <w:pPr>
        <w:pStyle w:val="ListParagraph"/>
        <w:numPr>
          <w:ilvl w:val="0"/>
          <w:numId w:val="7"/>
        </w:numPr>
        <w:rPr>
          <w:rFonts w:cs="Arial"/>
          <w:szCs w:val="24"/>
        </w:rPr>
      </w:pPr>
      <w:r w:rsidRPr="000B0393">
        <w:rPr>
          <w:rFonts w:cs="Arial"/>
        </w:rPr>
        <w:t xml:space="preserve">Jordan, Jason. 2009. “Federalism and health care cost containment in comparative perspective.” </w:t>
      </w:r>
      <w:proofErr w:type="spellStart"/>
      <w:r w:rsidRPr="000B0393">
        <w:rPr>
          <w:rFonts w:cs="Arial"/>
        </w:rPr>
        <w:t>Publius</w:t>
      </w:r>
      <w:proofErr w:type="spellEnd"/>
      <w:r w:rsidRPr="000B0393">
        <w:rPr>
          <w:rFonts w:cs="Arial"/>
        </w:rPr>
        <w:t>: The Journal of Federalism 39 (1): 164–186.</w:t>
      </w:r>
    </w:p>
    <w:p w14:paraId="4CE3ED9A" w14:textId="490B67AF" w:rsidR="00FA7DE4" w:rsidRPr="000B0393" w:rsidRDefault="000B0393" w:rsidP="009F03A3">
      <w:pPr>
        <w:pStyle w:val="ListParagraph"/>
        <w:numPr>
          <w:ilvl w:val="0"/>
          <w:numId w:val="7"/>
        </w:numPr>
        <w:rPr>
          <w:rFonts w:cs="Arial"/>
          <w:szCs w:val="24"/>
        </w:rPr>
      </w:pPr>
      <w:r w:rsidRPr="000B0393">
        <w:rPr>
          <w:rFonts w:cs="Arial"/>
        </w:rPr>
        <w:t xml:space="preserve">Other materials on Jordan’s Principle available from the </w:t>
      </w:r>
      <w:hyperlink r:id="rId14" w:history="1">
        <w:r w:rsidRPr="000B0393">
          <w:rPr>
            <w:rStyle w:val="Hyperlink"/>
            <w:rFonts w:cs="Arial"/>
          </w:rPr>
          <w:t>First Nations Child and Family Caring Society website</w:t>
        </w:r>
      </w:hyperlink>
    </w:p>
    <w:p w14:paraId="6381C302" w14:textId="0E77C0B0" w:rsidR="00D778AA" w:rsidRPr="00235E16" w:rsidRDefault="00D778AA" w:rsidP="000B0393">
      <w:pPr>
        <w:pStyle w:val="Heading2"/>
      </w:pPr>
      <w:bookmarkStart w:id="19" w:name="_Toc534793474"/>
      <w:r w:rsidRPr="00235E16">
        <w:t>Week 5 (</w:t>
      </w:r>
      <w:r w:rsidR="000B0393">
        <w:t>Feb 7</w:t>
      </w:r>
      <w:r w:rsidRPr="00235E16">
        <w:t xml:space="preserve">) </w:t>
      </w:r>
      <w:r w:rsidR="000B0393" w:rsidRPr="00611B07">
        <w:t>Who provides health care? the role of physicians and other health professionals</w:t>
      </w:r>
      <w:bookmarkEnd w:id="19"/>
    </w:p>
    <w:p w14:paraId="30EF96BF" w14:textId="304DCD7A" w:rsidR="00063B49" w:rsidRPr="00235E16" w:rsidRDefault="00063B49" w:rsidP="00063B49">
      <w:pPr>
        <w:autoSpaceDE w:val="0"/>
        <w:autoSpaceDN w:val="0"/>
        <w:adjustRightInd w:val="0"/>
        <w:rPr>
          <w:rFonts w:cs="Arial"/>
          <w:szCs w:val="24"/>
        </w:rPr>
      </w:pPr>
      <w:r w:rsidRPr="00235E16">
        <w:t>Required readings:</w:t>
      </w:r>
    </w:p>
    <w:p w14:paraId="126AB706" w14:textId="77777777" w:rsidR="000B0393" w:rsidRPr="00586143" w:rsidRDefault="000B0393" w:rsidP="009F03A3">
      <w:pPr>
        <w:pStyle w:val="ListParagraph"/>
        <w:numPr>
          <w:ilvl w:val="0"/>
          <w:numId w:val="4"/>
        </w:numPr>
        <w:spacing w:after="0" w:line="240" w:lineRule="auto"/>
        <w:rPr>
          <w:rFonts w:cs="Arial"/>
        </w:rPr>
      </w:pPr>
      <w:proofErr w:type="spellStart"/>
      <w:r w:rsidRPr="00586143">
        <w:rPr>
          <w:rFonts w:cs="Arial"/>
        </w:rPr>
        <w:t>Fierlbeck</w:t>
      </w:r>
      <w:proofErr w:type="spellEnd"/>
      <w:r w:rsidRPr="00586143">
        <w:rPr>
          <w:rFonts w:cs="Arial"/>
        </w:rPr>
        <w:t xml:space="preserve">, Katherine </w:t>
      </w:r>
      <w:proofErr w:type="spellStart"/>
      <w:r w:rsidRPr="00586143">
        <w:rPr>
          <w:rFonts w:cs="Arial"/>
        </w:rPr>
        <w:t>Ch</w:t>
      </w:r>
      <w:proofErr w:type="spellEnd"/>
      <w:r w:rsidRPr="00586143">
        <w:rPr>
          <w:rFonts w:cs="Arial"/>
        </w:rPr>
        <w:t xml:space="preserve"> 6 Health Human Resources</w:t>
      </w:r>
    </w:p>
    <w:p w14:paraId="042301B1" w14:textId="22FC2EE2" w:rsidR="00D778AA" w:rsidRPr="00235E16" w:rsidRDefault="000B0393" w:rsidP="009F03A3">
      <w:pPr>
        <w:pStyle w:val="ListParagraph"/>
        <w:numPr>
          <w:ilvl w:val="0"/>
          <w:numId w:val="4"/>
        </w:numPr>
        <w:spacing w:after="0" w:line="240" w:lineRule="auto"/>
        <w:rPr>
          <w:rFonts w:eastAsia="Times New Roman" w:cs="Arial"/>
          <w:snapToGrid w:val="0"/>
          <w:szCs w:val="24"/>
        </w:rPr>
      </w:pPr>
      <w:proofErr w:type="spellStart"/>
      <w:r w:rsidRPr="00586143">
        <w:rPr>
          <w:rFonts w:cs="Arial"/>
        </w:rPr>
        <w:t>Monavvari</w:t>
      </w:r>
      <w:proofErr w:type="spellEnd"/>
      <w:r w:rsidRPr="00586143">
        <w:rPr>
          <w:rFonts w:cs="Arial"/>
        </w:rPr>
        <w:t xml:space="preserve">, Alan A, Colette Peters, and </w:t>
      </w:r>
      <w:proofErr w:type="spellStart"/>
      <w:r w:rsidRPr="00586143">
        <w:rPr>
          <w:rFonts w:cs="Arial"/>
        </w:rPr>
        <w:t>Perle</w:t>
      </w:r>
      <w:proofErr w:type="spellEnd"/>
      <w:r w:rsidRPr="00586143">
        <w:rPr>
          <w:rFonts w:cs="Arial"/>
        </w:rPr>
        <w:t xml:space="preserve"> Feldman. 2015. “International Medical Graduates: Past, Present, and Future.” Canadian Family Physician 61 (3). The College of Family Physicians of Canada: 205–8 [opinion piece]</w:t>
      </w:r>
    </w:p>
    <w:p w14:paraId="48D38C9C" w14:textId="77777777" w:rsidR="00FA7DE4" w:rsidRPr="00235E16" w:rsidRDefault="00FA7DE4" w:rsidP="00FA7DE4">
      <w:pPr>
        <w:pStyle w:val="ListParagraph"/>
        <w:spacing w:after="0" w:line="240" w:lineRule="auto"/>
        <w:ind w:left="357"/>
        <w:rPr>
          <w:rFonts w:eastAsia="Times New Roman" w:cs="Arial"/>
          <w:snapToGrid w:val="0"/>
          <w:szCs w:val="24"/>
        </w:rPr>
      </w:pPr>
    </w:p>
    <w:p w14:paraId="42B1F3D0" w14:textId="5E9D9283" w:rsidR="00132447" w:rsidRPr="00235E16" w:rsidRDefault="00D778AA" w:rsidP="008B17D2">
      <w:pPr>
        <w:pStyle w:val="Heading2"/>
      </w:pPr>
      <w:bookmarkStart w:id="20" w:name="_Toc534793475"/>
      <w:r w:rsidRPr="00235E16">
        <w:t>Week 6</w:t>
      </w:r>
      <w:r w:rsidR="000213DC" w:rsidRPr="00235E16">
        <w:t xml:space="preserve"> (</w:t>
      </w:r>
      <w:r w:rsidR="000B0393">
        <w:t>Feb 14</w:t>
      </w:r>
      <w:r w:rsidR="000213DC" w:rsidRPr="00235E16">
        <w:t>)</w:t>
      </w:r>
      <w:r w:rsidR="00FE4C33" w:rsidRPr="00235E16">
        <w:t xml:space="preserve"> </w:t>
      </w:r>
      <w:r w:rsidR="00FB0E8B" w:rsidRPr="00235E16">
        <w:t>Writing Workshop</w:t>
      </w:r>
      <w:bookmarkEnd w:id="20"/>
    </w:p>
    <w:p w14:paraId="54735B6B" w14:textId="3F31B91A" w:rsidR="00B86FDD" w:rsidRPr="00235E16" w:rsidRDefault="00B86FDD" w:rsidP="00FE4C33">
      <w:pPr>
        <w:rPr>
          <w:b/>
        </w:rPr>
      </w:pPr>
      <w:r w:rsidRPr="00235E16">
        <w:rPr>
          <w:b/>
        </w:rPr>
        <w:t xml:space="preserve">Note: </w:t>
      </w:r>
      <w:r w:rsidR="000B0393">
        <w:rPr>
          <w:b/>
        </w:rPr>
        <w:t>Topic statement and bibliography</w:t>
      </w:r>
      <w:r w:rsidRPr="00235E16">
        <w:rPr>
          <w:b/>
        </w:rPr>
        <w:t xml:space="preserve"> </w:t>
      </w:r>
      <w:r w:rsidR="000B0393">
        <w:rPr>
          <w:b/>
        </w:rPr>
        <w:t>due via email, 11.59pm on Feb 13</w:t>
      </w:r>
    </w:p>
    <w:p w14:paraId="09B07CAF" w14:textId="4594C161" w:rsidR="007328DA" w:rsidRPr="00235E16" w:rsidRDefault="00FE4C33" w:rsidP="00FE4C33">
      <w:r w:rsidRPr="00235E16">
        <w:t>Required r</w:t>
      </w:r>
      <w:r w:rsidR="007328DA" w:rsidRPr="00235E16">
        <w:t>eadings:</w:t>
      </w:r>
    </w:p>
    <w:p w14:paraId="7196EBE4" w14:textId="685CEB95" w:rsidR="000B0393" w:rsidRPr="00586143" w:rsidRDefault="000B0393" w:rsidP="009F03A3">
      <w:pPr>
        <w:pStyle w:val="ListParagraph"/>
        <w:numPr>
          <w:ilvl w:val="0"/>
          <w:numId w:val="9"/>
        </w:numPr>
        <w:spacing w:after="0" w:line="240" w:lineRule="auto"/>
        <w:rPr>
          <w:rFonts w:cs="Arial"/>
        </w:rPr>
      </w:pPr>
      <w:r w:rsidRPr="00586143">
        <w:rPr>
          <w:rFonts w:cs="Arial"/>
        </w:rPr>
        <w:t>peer evaluation guidelines</w:t>
      </w:r>
      <w:r>
        <w:rPr>
          <w:rFonts w:cs="Arial"/>
        </w:rPr>
        <w:t xml:space="preserve"> on Avenue</w:t>
      </w:r>
    </w:p>
    <w:p w14:paraId="45E474AD" w14:textId="77777777" w:rsidR="000B0393" w:rsidRPr="000B0393" w:rsidRDefault="000B0393" w:rsidP="009F03A3">
      <w:pPr>
        <w:pStyle w:val="ListParagraph"/>
        <w:numPr>
          <w:ilvl w:val="0"/>
          <w:numId w:val="9"/>
        </w:numPr>
        <w:spacing w:after="0" w:line="240" w:lineRule="auto"/>
        <w:rPr>
          <w:rFonts w:cs="Arial"/>
        </w:rPr>
      </w:pPr>
      <w:r w:rsidRPr="000B0393">
        <w:rPr>
          <w:rFonts w:cs="Arial"/>
        </w:rPr>
        <w:t>Pal, Leslie A. 2010. Chapter 4: Policy Instrument and Design. In Beyond Policy Analysis. Public Issue Management in Turbulent Times. 4th ed. Toronto: Nelson. Pp. 143-171 and 190-193.</w:t>
      </w:r>
    </w:p>
    <w:p w14:paraId="2A0CADD2" w14:textId="4DFDF549" w:rsidR="00FB0E8B" w:rsidRPr="00235E16" w:rsidRDefault="007D5208" w:rsidP="00C763B7">
      <w:pPr>
        <w:pStyle w:val="Heading2"/>
        <w:spacing w:before="240" w:after="240"/>
      </w:pPr>
      <w:bookmarkStart w:id="21" w:name="_Toc534793476"/>
      <w:r w:rsidRPr="00235E16">
        <w:lastRenderedPageBreak/>
        <w:t>Winter Mid-Term Recess</w:t>
      </w:r>
      <w:r w:rsidR="000B0393">
        <w:t xml:space="preserve"> (Feb 21</w:t>
      </w:r>
      <w:r w:rsidR="00BB1BEF" w:rsidRPr="00235E16">
        <w:t>)</w:t>
      </w:r>
      <w:r w:rsidR="00FB0E8B" w:rsidRPr="00235E16">
        <w:t xml:space="preserve">: </w:t>
      </w:r>
      <w:r w:rsidR="009A6238" w:rsidRPr="00235E16">
        <w:t>NO CLASS</w:t>
      </w:r>
      <w:bookmarkEnd w:id="21"/>
    </w:p>
    <w:p w14:paraId="22B7D8EC" w14:textId="0209A2B1" w:rsidR="000B0393" w:rsidRPr="000B0393" w:rsidRDefault="000B0393" w:rsidP="00C102A9">
      <w:pPr>
        <w:pStyle w:val="Heading1"/>
      </w:pPr>
      <w:bookmarkStart w:id="22" w:name="_Toc534793477"/>
      <w:r w:rsidRPr="000B0393">
        <w:t>Module II: Selected health policy problems</w:t>
      </w:r>
      <w:bookmarkEnd w:id="22"/>
    </w:p>
    <w:p w14:paraId="4D159854" w14:textId="5B5EB148" w:rsidR="00132447" w:rsidRPr="00235E16" w:rsidRDefault="00132447" w:rsidP="00FA7DE4">
      <w:pPr>
        <w:pStyle w:val="Heading2"/>
        <w:spacing w:after="240"/>
      </w:pPr>
      <w:bookmarkStart w:id="23" w:name="_Toc534793478"/>
      <w:r w:rsidRPr="00235E16">
        <w:t>Week 7</w:t>
      </w:r>
      <w:r w:rsidR="000213DC" w:rsidRPr="00235E16">
        <w:t xml:space="preserve"> (</w:t>
      </w:r>
      <w:r w:rsidR="00FB0E8B" w:rsidRPr="00235E16">
        <w:t>Feb 2</w:t>
      </w:r>
      <w:r w:rsidR="000B0393">
        <w:t>8</w:t>
      </w:r>
      <w:r w:rsidR="000213DC" w:rsidRPr="00235E16">
        <w:t>)</w:t>
      </w:r>
      <w:r w:rsidR="00FE4C33" w:rsidRPr="00235E16">
        <w:t xml:space="preserve"> </w:t>
      </w:r>
      <w:r w:rsidR="000B0393">
        <w:t>Barriers to access</w:t>
      </w:r>
      <w:bookmarkEnd w:id="23"/>
    </w:p>
    <w:p w14:paraId="1ACDE998" w14:textId="29DB15A3" w:rsidR="00132447" w:rsidRPr="00235E16" w:rsidRDefault="00FE4C33" w:rsidP="00B86FDD">
      <w:r w:rsidRPr="00235E16">
        <w:t>Required r</w:t>
      </w:r>
      <w:r w:rsidR="00132447" w:rsidRPr="00235E16">
        <w:t>eadings:</w:t>
      </w:r>
    </w:p>
    <w:p w14:paraId="55374CE9" w14:textId="77777777" w:rsidR="000B0393" w:rsidRDefault="000B0393" w:rsidP="009F03A3">
      <w:pPr>
        <w:pStyle w:val="ListParagraph"/>
        <w:numPr>
          <w:ilvl w:val="0"/>
          <w:numId w:val="4"/>
        </w:numPr>
        <w:spacing w:after="0" w:line="240" w:lineRule="auto"/>
        <w:rPr>
          <w:rFonts w:cs="Arial"/>
        </w:rPr>
      </w:pPr>
      <w:proofErr w:type="spellStart"/>
      <w:r w:rsidRPr="00586143">
        <w:rPr>
          <w:rFonts w:cs="Arial"/>
        </w:rPr>
        <w:t>Lawford</w:t>
      </w:r>
      <w:proofErr w:type="spellEnd"/>
      <w:r w:rsidRPr="00586143">
        <w:rPr>
          <w:rFonts w:cs="Arial"/>
        </w:rPr>
        <w:t xml:space="preserve">, Karen. 2016. “View of Locating Invisible Policies: Health Canada’s Evacuation Policy as a Case Study.” Atlantis 37 (2): 147–60. </w:t>
      </w:r>
    </w:p>
    <w:p w14:paraId="1581C12A" w14:textId="458E7264" w:rsidR="00B86FDD" w:rsidRPr="000B0393" w:rsidRDefault="000B0393" w:rsidP="009F03A3">
      <w:pPr>
        <w:pStyle w:val="ListParagraph"/>
        <w:numPr>
          <w:ilvl w:val="0"/>
          <w:numId w:val="4"/>
        </w:numPr>
        <w:spacing w:after="0" w:line="240" w:lineRule="auto"/>
        <w:rPr>
          <w:rFonts w:cs="Arial"/>
        </w:rPr>
      </w:pPr>
      <w:r w:rsidRPr="000B0393">
        <w:rPr>
          <w:rFonts w:cs="Arial"/>
        </w:rPr>
        <w:t xml:space="preserve">Thomson, Mary Susan, </w:t>
      </w:r>
      <w:proofErr w:type="spellStart"/>
      <w:r w:rsidRPr="000B0393">
        <w:rPr>
          <w:rFonts w:cs="Arial"/>
        </w:rPr>
        <w:t>Ferzana</w:t>
      </w:r>
      <w:proofErr w:type="spellEnd"/>
      <w:r w:rsidRPr="000B0393">
        <w:rPr>
          <w:rFonts w:cs="Arial"/>
        </w:rPr>
        <w:t xml:space="preserve"> </w:t>
      </w:r>
      <w:proofErr w:type="spellStart"/>
      <w:r w:rsidRPr="000B0393">
        <w:rPr>
          <w:rFonts w:cs="Arial"/>
        </w:rPr>
        <w:t>Chaze</w:t>
      </w:r>
      <w:proofErr w:type="spellEnd"/>
      <w:r w:rsidRPr="000B0393">
        <w:rPr>
          <w:rFonts w:cs="Arial"/>
        </w:rPr>
        <w:t xml:space="preserve">, </w:t>
      </w:r>
      <w:proofErr w:type="spellStart"/>
      <w:r w:rsidRPr="000B0393">
        <w:rPr>
          <w:rFonts w:cs="Arial"/>
        </w:rPr>
        <w:t>Usha</w:t>
      </w:r>
      <w:proofErr w:type="spellEnd"/>
      <w:r w:rsidRPr="000B0393">
        <w:rPr>
          <w:rFonts w:cs="Arial"/>
        </w:rPr>
        <w:t xml:space="preserve"> George, and </w:t>
      </w:r>
      <w:proofErr w:type="spellStart"/>
      <w:r w:rsidRPr="000B0393">
        <w:rPr>
          <w:rFonts w:cs="Arial"/>
        </w:rPr>
        <w:t>Sepali</w:t>
      </w:r>
      <w:proofErr w:type="spellEnd"/>
      <w:r w:rsidRPr="000B0393">
        <w:rPr>
          <w:rFonts w:cs="Arial"/>
        </w:rPr>
        <w:t xml:space="preserve"> </w:t>
      </w:r>
      <w:proofErr w:type="spellStart"/>
      <w:r w:rsidRPr="000B0393">
        <w:rPr>
          <w:rFonts w:cs="Arial"/>
        </w:rPr>
        <w:t>Guruge</w:t>
      </w:r>
      <w:proofErr w:type="spellEnd"/>
      <w:r w:rsidRPr="000B0393">
        <w:rPr>
          <w:rFonts w:cs="Arial"/>
        </w:rPr>
        <w:t xml:space="preserve">. 2015. “Improving Immigrant Populations’ Access to Mental Health Services in Canada: </w:t>
      </w:r>
      <w:proofErr w:type="gramStart"/>
      <w:r w:rsidRPr="000B0393">
        <w:rPr>
          <w:rFonts w:cs="Arial"/>
        </w:rPr>
        <w:t>a</w:t>
      </w:r>
      <w:proofErr w:type="gramEnd"/>
      <w:r w:rsidRPr="000B0393">
        <w:rPr>
          <w:rFonts w:cs="Arial"/>
        </w:rPr>
        <w:t xml:space="preserve"> Review of Barriers and Recommendations.” Journal of Immigrant and Minority Health 17 (6). Springer US: 1895–1905. doi:10.1007/s10903-015-0175-3.</w:t>
      </w:r>
    </w:p>
    <w:p w14:paraId="75492D37" w14:textId="77777777" w:rsidR="00351218" w:rsidRPr="00235E16" w:rsidRDefault="00351218" w:rsidP="00351218">
      <w:pPr>
        <w:pStyle w:val="ListParagraph"/>
        <w:spacing w:after="0" w:line="240" w:lineRule="auto"/>
        <w:ind w:left="1080"/>
        <w:rPr>
          <w:rFonts w:cs="Arial"/>
          <w:szCs w:val="24"/>
        </w:rPr>
      </w:pPr>
    </w:p>
    <w:p w14:paraId="048C7FFF" w14:textId="247B492A" w:rsidR="00132447" w:rsidRPr="00235E16" w:rsidRDefault="00132447" w:rsidP="006236B7">
      <w:pPr>
        <w:pStyle w:val="Heading2"/>
      </w:pPr>
      <w:bookmarkStart w:id="24" w:name="_Toc534793479"/>
      <w:r w:rsidRPr="00235E16">
        <w:t>Week 8</w:t>
      </w:r>
      <w:r w:rsidR="000213DC" w:rsidRPr="00235E16">
        <w:t xml:space="preserve"> (</w:t>
      </w:r>
      <w:r w:rsidR="009F03A3">
        <w:t>Mar 7</w:t>
      </w:r>
      <w:r w:rsidR="000213DC" w:rsidRPr="00235E16">
        <w:t>)</w:t>
      </w:r>
      <w:r w:rsidR="00FE4C33" w:rsidRPr="00235E16">
        <w:t xml:space="preserve"> </w:t>
      </w:r>
      <w:r w:rsidR="009F03A3">
        <w:t>Changing approaches to mental health services</w:t>
      </w:r>
      <w:bookmarkEnd w:id="24"/>
    </w:p>
    <w:p w14:paraId="17FA533C" w14:textId="69653097" w:rsidR="00132447" w:rsidRPr="00235E16" w:rsidRDefault="00132447" w:rsidP="00B86FDD">
      <w:r w:rsidRPr="00235E16">
        <w:t>R</w:t>
      </w:r>
      <w:r w:rsidR="00FE4C33" w:rsidRPr="00235E16">
        <w:t>equired r</w:t>
      </w:r>
      <w:r w:rsidRPr="00235E16">
        <w:t>eadings:</w:t>
      </w:r>
    </w:p>
    <w:p w14:paraId="28B289E1" w14:textId="77777777" w:rsidR="009F03A3" w:rsidRPr="007C08C5" w:rsidRDefault="009F03A3" w:rsidP="009F03A3">
      <w:pPr>
        <w:pStyle w:val="ListParagraph"/>
        <w:numPr>
          <w:ilvl w:val="0"/>
          <w:numId w:val="11"/>
        </w:numPr>
        <w:spacing w:after="0" w:line="240" w:lineRule="auto"/>
        <w:rPr>
          <w:rFonts w:cs="Arial"/>
        </w:rPr>
      </w:pPr>
      <w:proofErr w:type="spellStart"/>
      <w:r w:rsidRPr="007C08C5">
        <w:rPr>
          <w:rFonts w:cs="Arial"/>
        </w:rPr>
        <w:t>Fierlbeck</w:t>
      </w:r>
      <w:proofErr w:type="spellEnd"/>
      <w:r w:rsidRPr="007C08C5">
        <w:rPr>
          <w:rFonts w:cs="Arial"/>
        </w:rPr>
        <w:t xml:space="preserve">, Katherine </w:t>
      </w:r>
      <w:proofErr w:type="spellStart"/>
      <w:r w:rsidRPr="007C08C5">
        <w:rPr>
          <w:rFonts w:cs="Arial"/>
        </w:rPr>
        <w:t>Ch</w:t>
      </w:r>
      <w:proofErr w:type="spellEnd"/>
      <w:r w:rsidRPr="007C08C5">
        <w:rPr>
          <w:rFonts w:cs="Arial"/>
        </w:rPr>
        <w:t xml:space="preserve"> 4 Mental Health</w:t>
      </w:r>
    </w:p>
    <w:p w14:paraId="0AFA5EE7" w14:textId="35603B66" w:rsidR="009F03A3" w:rsidRDefault="009F03A3" w:rsidP="009F03A3">
      <w:pPr>
        <w:pStyle w:val="ListParagraph"/>
        <w:numPr>
          <w:ilvl w:val="0"/>
          <w:numId w:val="11"/>
        </w:numPr>
        <w:spacing w:after="0" w:line="240" w:lineRule="auto"/>
        <w:rPr>
          <w:rFonts w:cs="Arial"/>
        </w:rPr>
      </w:pPr>
      <w:r w:rsidRPr="007C08C5">
        <w:rPr>
          <w:rFonts w:cs="Arial"/>
        </w:rPr>
        <w:t xml:space="preserve">Mental Health Commission of Canada. (2016). Advancing the Mental Health Strategy for Canada: A Framework for Action (2017–2022), Ottawa, ON: Mental Health Commission of Canada. Read Pillars 1-3, p.10-19. Available on the </w:t>
      </w:r>
      <w:hyperlink r:id="rId15" w:history="1">
        <w:r w:rsidRPr="007C08C5">
          <w:rPr>
            <w:rStyle w:val="Hyperlink"/>
            <w:rFonts w:cs="Arial"/>
          </w:rPr>
          <w:t>Commission website.</w:t>
        </w:r>
      </w:hyperlink>
    </w:p>
    <w:p w14:paraId="47D399D6" w14:textId="77777777" w:rsidR="009F03A3" w:rsidRPr="009F03A3" w:rsidRDefault="009F03A3" w:rsidP="009F03A3">
      <w:pPr>
        <w:pStyle w:val="ListParagraph"/>
        <w:spacing w:after="0" w:line="240" w:lineRule="auto"/>
        <w:rPr>
          <w:rFonts w:cs="Arial"/>
        </w:rPr>
      </w:pPr>
    </w:p>
    <w:p w14:paraId="4C416386" w14:textId="77777777" w:rsidR="009F03A3" w:rsidRDefault="009F03A3" w:rsidP="009F03A3">
      <w:pPr>
        <w:rPr>
          <w:rFonts w:cs="Arial"/>
          <w:szCs w:val="24"/>
        </w:rPr>
      </w:pPr>
      <w:r w:rsidRPr="00611B07">
        <w:rPr>
          <w:rFonts w:cs="Arial"/>
          <w:szCs w:val="24"/>
        </w:rPr>
        <w:t>Recommended:</w:t>
      </w:r>
    </w:p>
    <w:p w14:paraId="2D89F6E5" w14:textId="0393D916" w:rsidR="00B86FDD" w:rsidRPr="009F03A3" w:rsidRDefault="009F03A3" w:rsidP="009F03A3">
      <w:pPr>
        <w:pStyle w:val="ListParagraph"/>
        <w:numPr>
          <w:ilvl w:val="0"/>
          <w:numId w:val="10"/>
        </w:numPr>
        <w:rPr>
          <w:rFonts w:cs="Arial"/>
          <w:szCs w:val="24"/>
        </w:rPr>
      </w:pPr>
      <w:r w:rsidRPr="007C08C5">
        <w:t xml:space="preserve">Mental Health Commission of Canada. 2012. Changing Directions, Changing Lives: Mental Health Strategy for Canada. Ottawa: The Commission. Read Strategic Direction 3, pages 52-75. Available on the </w:t>
      </w:r>
      <w:hyperlink r:id="rId16" w:history="1">
        <w:r w:rsidRPr="009F03A3">
          <w:rPr>
            <w:rStyle w:val="Hyperlink"/>
            <w:rFonts w:cs="Arial"/>
          </w:rPr>
          <w:t>Commission website</w:t>
        </w:r>
      </w:hyperlink>
    </w:p>
    <w:p w14:paraId="7EEBCB14" w14:textId="286F3BC0" w:rsidR="00132447" w:rsidRPr="00235E16" w:rsidRDefault="00132447" w:rsidP="00132447">
      <w:pPr>
        <w:pStyle w:val="Heading2"/>
      </w:pPr>
      <w:bookmarkStart w:id="25" w:name="_Toc534793480"/>
      <w:r w:rsidRPr="00235E16">
        <w:t>Week 9</w:t>
      </w:r>
      <w:r w:rsidR="000213DC" w:rsidRPr="00235E16">
        <w:t xml:space="preserve"> (</w:t>
      </w:r>
      <w:r w:rsidR="009F03A3">
        <w:t>Mar 14</w:t>
      </w:r>
      <w:r w:rsidR="000213DC" w:rsidRPr="00235E16">
        <w:t>)</w:t>
      </w:r>
      <w:r w:rsidR="00FE4C33" w:rsidRPr="00235E16">
        <w:t xml:space="preserve"> </w:t>
      </w:r>
      <w:r w:rsidR="009F03A3">
        <w:t>Pharmaceutical policy</w:t>
      </w:r>
      <w:bookmarkEnd w:id="25"/>
      <w:r w:rsidR="00FE4C33" w:rsidRPr="00235E16">
        <w:t xml:space="preserve"> </w:t>
      </w:r>
    </w:p>
    <w:p w14:paraId="77D6EDD0" w14:textId="20ACE0D0" w:rsidR="009F03A3" w:rsidRDefault="009F03A3" w:rsidP="00B86FDD">
      <w:r>
        <w:t>Note: Information note due Mar 13 by 11.59pm, by email</w:t>
      </w:r>
    </w:p>
    <w:p w14:paraId="020EA4A8" w14:textId="42AC8683" w:rsidR="00132447" w:rsidRPr="00235E16" w:rsidRDefault="00FE4C33" w:rsidP="00B86FDD">
      <w:r w:rsidRPr="00235E16">
        <w:t>Required r</w:t>
      </w:r>
      <w:r w:rsidR="00132447" w:rsidRPr="00235E16">
        <w:t>eadings:</w:t>
      </w:r>
    </w:p>
    <w:p w14:paraId="65E9CB6E" w14:textId="77777777" w:rsidR="009F03A3" w:rsidRPr="007A0146" w:rsidRDefault="009F03A3" w:rsidP="009F03A3">
      <w:pPr>
        <w:pStyle w:val="ListParagraph"/>
        <w:numPr>
          <w:ilvl w:val="0"/>
          <w:numId w:val="12"/>
        </w:numPr>
        <w:spacing w:after="0" w:line="240" w:lineRule="auto"/>
        <w:rPr>
          <w:rFonts w:cs="Arial"/>
        </w:rPr>
      </w:pPr>
      <w:proofErr w:type="spellStart"/>
      <w:r w:rsidRPr="007A0146">
        <w:rPr>
          <w:rFonts w:cs="Arial"/>
        </w:rPr>
        <w:t>Fierlbeck</w:t>
      </w:r>
      <w:proofErr w:type="spellEnd"/>
      <w:r w:rsidRPr="007A0146">
        <w:rPr>
          <w:rFonts w:cs="Arial"/>
        </w:rPr>
        <w:t xml:space="preserve">, Katherine </w:t>
      </w:r>
      <w:proofErr w:type="spellStart"/>
      <w:r w:rsidRPr="007A0146">
        <w:rPr>
          <w:rFonts w:cs="Arial"/>
        </w:rPr>
        <w:t>Ch</w:t>
      </w:r>
      <w:proofErr w:type="spellEnd"/>
      <w:r w:rsidRPr="007A0146">
        <w:rPr>
          <w:rFonts w:cs="Arial"/>
        </w:rPr>
        <w:t xml:space="preserve"> 7 Drugs and Drug Policy, p.151-183 (omit “Regulatory Reform in Canada) </w:t>
      </w:r>
    </w:p>
    <w:p w14:paraId="552E388A" w14:textId="77777777" w:rsidR="009F03A3" w:rsidRPr="007A0146" w:rsidRDefault="009F03A3" w:rsidP="009F03A3">
      <w:pPr>
        <w:pStyle w:val="ListParagraph"/>
        <w:numPr>
          <w:ilvl w:val="0"/>
          <w:numId w:val="12"/>
        </w:numPr>
        <w:spacing w:after="0" w:line="240" w:lineRule="auto"/>
        <w:rPr>
          <w:rFonts w:cs="Arial"/>
        </w:rPr>
      </w:pPr>
      <w:r w:rsidRPr="007A0146">
        <w:rPr>
          <w:rFonts w:cs="Arial"/>
        </w:rPr>
        <w:t xml:space="preserve">Morgan, Steve. G. and Katherine </w:t>
      </w:r>
      <w:proofErr w:type="spellStart"/>
      <w:r w:rsidRPr="007A0146">
        <w:rPr>
          <w:rFonts w:cs="Arial"/>
        </w:rPr>
        <w:t>Boothe</w:t>
      </w:r>
      <w:proofErr w:type="spellEnd"/>
      <w:r w:rsidRPr="007A0146">
        <w:rPr>
          <w:rFonts w:cs="Arial"/>
        </w:rPr>
        <w:t>. (2016). Universal prescription drug coverage in Canada: Long-promised yet undelivered. Healthcare Management Forum, 29(6), 247–254.</w:t>
      </w:r>
    </w:p>
    <w:p w14:paraId="2B26463C" w14:textId="693BF074" w:rsidR="006236B7" w:rsidRPr="00235E16" w:rsidRDefault="009F03A3" w:rsidP="009F03A3">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snapToGrid w:val="0"/>
          <w:szCs w:val="24"/>
        </w:rPr>
      </w:pPr>
      <w:r w:rsidRPr="00591748">
        <w:rPr>
          <w:rFonts w:cs="Arial"/>
        </w:rPr>
        <w:t xml:space="preserve">Final Report of the Citizens’ Reference Panel on Pharmacare in Canada (2016), pages 1-10. Available for download from the </w:t>
      </w:r>
      <w:hyperlink r:id="rId17" w:history="1">
        <w:r w:rsidRPr="00591748">
          <w:rPr>
            <w:rStyle w:val="Hyperlink"/>
            <w:rFonts w:cs="Arial"/>
          </w:rPr>
          <w:t>Panel’s website</w:t>
        </w:r>
      </w:hyperlink>
    </w:p>
    <w:p w14:paraId="67F3ABBD" w14:textId="254978DB" w:rsidR="009F03A3" w:rsidRPr="00611B07" w:rsidRDefault="005A5967" w:rsidP="009F03A3">
      <w:pPr>
        <w:rPr>
          <w:rFonts w:cs="Arial"/>
          <w:szCs w:val="24"/>
        </w:rPr>
      </w:pPr>
      <w:r>
        <w:rPr>
          <w:rFonts w:cs="Arial"/>
          <w:szCs w:val="24"/>
        </w:rPr>
        <w:br/>
      </w:r>
      <w:r w:rsidR="009F03A3" w:rsidRPr="00611B07">
        <w:rPr>
          <w:rFonts w:cs="Arial"/>
          <w:szCs w:val="24"/>
        </w:rPr>
        <w:t>Recommended:</w:t>
      </w:r>
    </w:p>
    <w:p w14:paraId="0A105086" w14:textId="77777777" w:rsidR="009F03A3" w:rsidRPr="007A0146" w:rsidRDefault="009F03A3" w:rsidP="009F03A3">
      <w:pPr>
        <w:pStyle w:val="ListParagraph"/>
        <w:numPr>
          <w:ilvl w:val="0"/>
          <w:numId w:val="13"/>
        </w:numPr>
        <w:spacing w:after="0" w:line="240" w:lineRule="auto"/>
        <w:rPr>
          <w:rFonts w:cs="Arial"/>
        </w:rPr>
      </w:pPr>
      <w:proofErr w:type="spellStart"/>
      <w:r w:rsidRPr="007A0146">
        <w:rPr>
          <w:rFonts w:cs="Arial"/>
        </w:rPr>
        <w:lastRenderedPageBreak/>
        <w:t>Daw</w:t>
      </w:r>
      <w:proofErr w:type="spellEnd"/>
      <w:r w:rsidRPr="007A0146">
        <w:rPr>
          <w:rFonts w:cs="Arial"/>
        </w:rPr>
        <w:t>, Jamie R., Morgan, Steve. G., Thomson, P. A., &amp; Law, M. R. (2013). Here today, gone tomorrow: The issue attention cycle and national print media coverage of prescription drug financing in Canada. Health Policy, 110(1), 67–75.</w:t>
      </w:r>
    </w:p>
    <w:p w14:paraId="4E53F8EF" w14:textId="7D709AD9" w:rsidR="009F03A3" w:rsidRPr="00C102A9" w:rsidRDefault="009F03A3" w:rsidP="00132447">
      <w:pPr>
        <w:pStyle w:val="ListParagraph"/>
        <w:numPr>
          <w:ilvl w:val="0"/>
          <w:numId w:val="13"/>
        </w:numPr>
        <w:spacing w:after="0" w:line="240" w:lineRule="auto"/>
        <w:rPr>
          <w:rFonts w:cs="Arial"/>
        </w:rPr>
      </w:pPr>
      <w:proofErr w:type="spellStart"/>
      <w:r w:rsidRPr="007A0146">
        <w:rPr>
          <w:rFonts w:cs="Arial"/>
        </w:rPr>
        <w:t>Pomey</w:t>
      </w:r>
      <w:proofErr w:type="spellEnd"/>
      <w:r w:rsidRPr="007A0146">
        <w:rPr>
          <w:rFonts w:cs="Arial"/>
        </w:rPr>
        <w:t xml:space="preserve">, Marie P, S Morgan, J Church, P G Forest, J N </w:t>
      </w:r>
      <w:proofErr w:type="spellStart"/>
      <w:r w:rsidRPr="007A0146">
        <w:rPr>
          <w:rFonts w:cs="Arial"/>
        </w:rPr>
        <w:t>Lavis</w:t>
      </w:r>
      <w:proofErr w:type="spellEnd"/>
      <w:r w:rsidRPr="007A0146">
        <w:rPr>
          <w:rFonts w:cs="Arial"/>
        </w:rPr>
        <w:t xml:space="preserve">, T McIntosh, N Smith, J </w:t>
      </w:r>
      <w:proofErr w:type="spellStart"/>
      <w:r w:rsidRPr="007A0146">
        <w:rPr>
          <w:rFonts w:cs="Arial"/>
        </w:rPr>
        <w:t>Petrela</w:t>
      </w:r>
      <w:proofErr w:type="spellEnd"/>
      <w:r w:rsidRPr="007A0146">
        <w:rPr>
          <w:rFonts w:cs="Arial"/>
        </w:rPr>
        <w:t>, E Martin, and S Dobson. 2010. “Do Provincial Drug Benefit Initiatives Create an Effective Policy Lab? The Evidence from Canada.” Journal of Health Politics, Policy and Law 35 (5) (December 1): 705–742.</w:t>
      </w:r>
    </w:p>
    <w:p w14:paraId="0681CDE8" w14:textId="3CC4F208" w:rsidR="009F03A3" w:rsidRDefault="009F03A3" w:rsidP="00C102A9">
      <w:pPr>
        <w:pStyle w:val="Heading1"/>
      </w:pPr>
      <w:bookmarkStart w:id="26" w:name="_Toc534793481"/>
      <w:r>
        <w:t>Module III: Health system comparisons</w:t>
      </w:r>
      <w:bookmarkEnd w:id="26"/>
    </w:p>
    <w:p w14:paraId="7523C203" w14:textId="77777777" w:rsidR="009F03A3" w:rsidRPr="00611B07" w:rsidRDefault="00132447" w:rsidP="009F03A3">
      <w:pPr>
        <w:pStyle w:val="Heading2"/>
      </w:pPr>
      <w:bookmarkStart w:id="27" w:name="_Toc534793482"/>
      <w:r w:rsidRPr="00235E16">
        <w:t>Week 10</w:t>
      </w:r>
      <w:r w:rsidR="009F03A3">
        <w:t xml:space="preserve"> (Mar 21</w:t>
      </w:r>
      <w:r w:rsidR="000213DC" w:rsidRPr="00235E16">
        <w:t>)</w:t>
      </w:r>
      <w:r w:rsidR="00FE4C33" w:rsidRPr="00235E16">
        <w:t xml:space="preserve"> </w:t>
      </w:r>
      <w:r w:rsidR="009F03A3" w:rsidRPr="00611B07">
        <w:t>National Health Services - UK</w:t>
      </w:r>
      <w:bookmarkEnd w:id="27"/>
    </w:p>
    <w:p w14:paraId="1FDCCA56" w14:textId="262FF392" w:rsidR="00132447" w:rsidRPr="00235E16" w:rsidRDefault="00132447" w:rsidP="006236B7">
      <w:pPr>
        <w:rPr>
          <w:rFonts w:cs="Arial"/>
          <w:b/>
          <w:bCs/>
          <w:szCs w:val="24"/>
        </w:rPr>
      </w:pPr>
      <w:r w:rsidRPr="00235E16">
        <w:t>R</w:t>
      </w:r>
      <w:r w:rsidR="00FE4C33" w:rsidRPr="00235E16">
        <w:t>equired r</w:t>
      </w:r>
      <w:r w:rsidRPr="00235E16">
        <w:t>eadings:</w:t>
      </w:r>
    </w:p>
    <w:p w14:paraId="0192C2D6" w14:textId="77777777" w:rsidR="009F03A3" w:rsidRPr="007A0146" w:rsidRDefault="009F03A3" w:rsidP="009F03A3">
      <w:pPr>
        <w:pStyle w:val="ListParagraph"/>
        <w:numPr>
          <w:ilvl w:val="0"/>
          <w:numId w:val="14"/>
        </w:numPr>
        <w:spacing w:after="0" w:line="240" w:lineRule="auto"/>
        <w:rPr>
          <w:rFonts w:cs="Arial"/>
        </w:rPr>
      </w:pPr>
      <w:proofErr w:type="spellStart"/>
      <w:r w:rsidRPr="007A0146">
        <w:rPr>
          <w:rFonts w:cs="Arial"/>
        </w:rPr>
        <w:t>Fierlbeck</w:t>
      </w:r>
      <w:proofErr w:type="spellEnd"/>
      <w:r w:rsidRPr="007A0146">
        <w:rPr>
          <w:rFonts w:cs="Arial"/>
        </w:rPr>
        <w:t xml:space="preserve">, Katherine </w:t>
      </w:r>
      <w:proofErr w:type="spellStart"/>
      <w:r w:rsidRPr="007A0146">
        <w:rPr>
          <w:rFonts w:cs="Arial"/>
        </w:rPr>
        <w:t>Ch</w:t>
      </w:r>
      <w:proofErr w:type="spellEnd"/>
      <w:r w:rsidRPr="007A0146">
        <w:rPr>
          <w:rFonts w:cs="Arial"/>
        </w:rPr>
        <w:t xml:space="preserve"> 9: </w:t>
      </w:r>
      <w:proofErr w:type="spellStart"/>
      <w:r w:rsidRPr="007A0146">
        <w:rPr>
          <w:rFonts w:cs="Arial"/>
        </w:rPr>
        <w:t>Beveridge</w:t>
      </w:r>
      <w:proofErr w:type="spellEnd"/>
      <w:r w:rsidRPr="007A0146">
        <w:rPr>
          <w:rFonts w:cs="Arial"/>
        </w:rPr>
        <w:t xml:space="preserve"> Systems – Britain, Sweden and the Internal Market (omit “Sweden’s Health Care System, p.234-237)</w:t>
      </w:r>
    </w:p>
    <w:p w14:paraId="7649473B" w14:textId="77777777" w:rsidR="009F03A3" w:rsidRDefault="009F03A3" w:rsidP="009F03A3">
      <w:pPr>
        <w:pStyle w:val="ListParagraph"/>
        <w:numPr>
          <w:ilvl w:val="0"/>
          <w:numId w:val="14"/>
        </w:numPr>
        <w:spacing w:after="0" w:line="240" w:lineRule="auto"/>
        <w:rPr>
          <w:rFonts w:cs="Arial"/>
        </w:rPr>
      </w:pPr>
      <w:r w:rsidRPr="007A0146">
        <w:rPr>
          <w:rFonts w:cs="Arial"/>
        </w:rPr>
        <w:t xml:space="preserve">Ham, Chris. 2012. What will the Health and Social Care Bill mean for the NHS in England? British Medical Journal </w:t>
      </w:r>
      <w:proofErr w:type="gramStart"/>
      <w:r w:rsidRPr="007A0146">
        <w:rPr>
          <w:rFonts w:cs="Arial"/>
        </w:rPr>
        <w:t>344:e</w:t>
      </w:r>
      <w:proofErr w:type="gramEnd"/>
      <w:r w:rsidRPr="007A0146">
        <w:rPr>
          <w:rFonts w:cs="Arial"/>
        </w:rPr>
        <w:t>2159</w:t>
      </w:r>
    </w:p>
    <w:p w14:paraId="743EAB2D" w14:textId="77777777" w:rsidR="009F03A3" w:rsidRPr="00591748" w:rsidRDefault="009F03A3" w:rsidP="009F03A3">
      <w:pPr>
        <w:pStyle w:val="ListParagraph"/>
        <w:numPr>
          <w:ilvl w:val="0"/>
          <w:numId w:val="14"/>
        </w:numPr>
        <w:spacing w:after="0" w:line="240" w:lineRule="auto"/>
        <w:rPr>
          <w:rFonts w:eastAsia="Times New Roman" w:cs="Arial"/>
          <w:szCs w:val="24"/>
        </w:rPr>
      </w:pPr>
      <w:proofErr w:type="spellStart"/>
      <w:r w:rsidRPr="00591748">
        <w:rPr>
          <w:rFonts w:eastAsia="Times New Roman" w:cs="Arial"/>
          <w:color w:val="2A3135"/>
          <w:szCs w:val="24"/>
          <w:shd w:val="clear" w:color="auto" w:fill="FFFFFF"/>
        </w:rPr>
        <w:t>Courea</w:t>
      </w:r>
      <w:proofErr w:type="spellEnd"/>
      <w:r w:rsidRPr="00591748">
        <w:rPr>
          <w:rFonts w:eastAsia="Times New Roman" w:cs="Arial"/>
          <w:color w:val="2A3135"/>
          <w:szCs w:val="24"/>
          <w:shd w:val="clear" w:color="auto" w:fill="FFFFFF"/>
        </w:rPr>
        <w:t xml:space="preserve">, </w:t>
      </w:r>
      <w:proofErr w:type="spellStart"/>
      <w:r w:rsidRPr="00591748">
        <w:rPr>
          <w:rFonts w:eastAsia="Times New Roman" w:cs="Arial"/>
          <w:color w:val="2A3135"/>
          <w:szCs w:val="24"/>
          <w:shd w:val="clear" w:color="auto" w:fill="FFFFFF"/>
        </w:rPr>
        <w:t>Eleni</w:t>
      </w:r>
      <w:proofErr w:type="spellEnd"/>
      <w:r w:rsidRPr="00591748">
        <w:rPr>
          <w:rFonts w:eastAsia="Times New Roman" w:cs="Arial"/>
          <w:color w:val="2A3135"/>
          <w:szCs w:val="24"/>
          <w:shd w:val="clear" w:color="auto" w:fill="FFFFFF"/>
        </w:rPr>
        <w:t>. 2018. “</w:t>
      </w:r>
      <w:hyperlink r:id="rId18" w:history="1">
        <w:proofErr w:type="spellStart"/>
        <w:r w:rsidRPr="00591748">
          <w:rPr>
            <w:rStyle w:val="Hyperlink"/>
            <w:rFonts w:eastAsia="Times New Roman" w:cs="Arial"/>
            <w:shd w:val="clear" w:color="auto" w:fill="FFFFFF"/>
          </w:rPr>
          <w:t>Brexit</w:t>
        </w:r>
        <w:proofErr w:type="spellEnd"/>
        <w:r w:rsidRPr="00591748">
          <w:rPr>
            <w:rStyle w:val="Hyperlink"/>
            <w:rFonts w:eastAsia="Times New Roman" w:cs="Arial"/>
            <w:shd w:val="clear" w:color="auto" w:fill="FFFFFF"/>
          </w:rPr>
          <w:t>: Most Doctors and Nurses Now Think NHS Will Get Worse.”</w:t>
        </w:r>
      </w:hyperlink>
      <w:r w:rsidRPr="00591748">
        <w:rPr>
          <w:rFonts w:eastAsia="Times New Roman" w:cs="Arial"/>
          <w:color w:val="2A3135"/>
          <w:szCs w:val="24"/>
          <w:shd w:val="clear" w:color="auto" w:fill="FFFFFF"/>
        </w:rPr>
        <w:t xml:space="preserve"> The Guardian, October 13.</w:t>
      </w:r>
    </w:p>
    <w:p w14:paraId="1D7A5194" w14:textId="77777777" w:rsidR="00F37E85" w:rsidRPr="00235E16" w:rsidRDefault="00F37E85" w:rsidP="00F37E85">
      <w:pPr>
        <w:spacing w:after="0" w:line="240" w:lineRule="auto"/>
        <w:ind w:left="360"/>
        <w:rPr>
          <w:rFonts w:cs="Arial"/>
          <w:szCs w:val="24"/>
        </w:rPr>
      </w:pPr>
    </w:p>
    <w:p w14:paraId="64E3024A" w14:textId="0CF34B6D" w:rsidR="009F03A3" w:rsidRDefault="00132447" w:rsidP="009F03A3">
      <w:pPr>
        <w:pStyle w:val="Heading2"/>
      </w:pPr>
      <w:bookmarkStart w:id="28" w:name="_Toc534793483"/>
      <w:r w:rsidRPr="00235E16">
        <w:t>Wee</w:t>
      </w:r>
      <w:r w:rsidR="00DF6749" w:rsidRPr="00235E16">
        <w:t>k 11</w:t>
      </w:r>
      <w:r w:rsidR="000213DC" w:rsidRPr="00235E16">
        <w:t xml:space="preserve"> (</w:t>
      </w:r>
      <w:r w:rsidR="009F03A3">
        <w:t>Mar 28</w:t>
      </w:r>
      <w:r w:rsidR="000213DC" w:rsidRPr="00235E16">
        <w:t>)</w:t>
      </w:r>
      <w:r w:rsidR="00FE4C33" w:rsidRPr="00235E16">
        <w:t xml:space="preserve"> </w:t>
      </w:r>
      <w:r w:rsidR="009F03A3">
        <w:t>Market model? The special case of the US</w:t>
      </w:r>
      <w:bookmarkEnd w:id="28"/>
    </w:p>
    <w:p w14:paraId="76FFD43E" w14:textId="4095C72F" w:rsidR="00132447" w:rsidRPr="00235E16" w:rsidRDefault="00FE4C33" w:rsidP="00F37E85">
      <w:r w:rsidRPr="00235E16">
        <w:t>Required r</w:t>
      </w:r>
      <w:r w:rsidR="00132447" w:rsidRPr="00235E16">
        <w:t>eadings:</w:t>
      </w:r>
    </w:p>
    <w:p w14:paraId="22D13994" w14:textId="77777777" w:rsidR="009F03A3" w:rsidRPr="009F03A3" w:rsidRDefault="009F03A3" w:rsidP="009F03A3">
      <w:pPr>
        <w:pStyle w:val="ListParagraph"/>
        <w:numPr>
          <w:ilvl w:val="0"/>
          <w:numId w:val="16"/>
        </w:numPr>
        <w:spacing w:after="0" w:line="240" w:lineRule="auto"/>
        <w:rPr>
          <w:rFonts w:cs="Arial"/>
          <w:szCs w:val="24"/>
        </w:rPr>
      </w:pPr>
      <w:proofErr w:type="spellStart"/>
      <w:r w:rsidRPr="009F03A3">
        <w:rPr>
          <w:rFonts w:cs="Arial"/>
          <w:szCs w:val="24"/>
        </w:rPr>
        <w:t>Fielbeck</w:t>
      </w:r>
      <w:proofErr w:type="spellEnd"/>
      <w:r w:rsidRPr="009F03A3">
        <w:rPr>
          <w:rFonts w:cs="Arial"/>
          <w:szCs w:val="24"/>
        </w:rPr>
        <w:t xml:space="preserve">, Katherine </w:t>
      </w:r>
      <w:proofErr w:type="spellStart"/>
      <w:r w:rsidRPr="009F03A3">
        <w:rPr>
          <w:rFonts w:cs="Arial"/>
          <w:szCs w:val="24"/>
        </w:rPr>
        <w:t>Ch</w:t>
      </w:r>
      <w:proofErr w:type="spellEnd"/>
      <w:r w:rsidRPr="009F03A3">
        <w:rPr>
          <w:rFonts w:cs="Arial"/>
          <w:szCs w:val="24"/>
        </w:rPr>
        <w:t xml:space="preserve"> 11: Mandated Private Insurance: The United States and the Long Road to Reform</w:t>
      </w:r>
    </w:p>
    <w:p w14:paraId="4F9A9F15" w14:textId="77777777" w:rsidR="009F03A3" w:rsidRPr="009F03A3" w:rsidRDefault="009F03A3" w:rsidP="009F03A3">
      <w:pPr>
        <w:pStyle w:val="ListParagraph"/>
        <w:numPr>
          <w:ilvl w:val="0"/>
          <w:numId w:val="16"/>
        </w:numPr>
        <w:spacing w:after="0" w:line="240" w:lineRule="auto"/>
        <w:rPr>
          <w:rFonts w:eastAsia="Times New Roman" w:cs="Arial"/>
          <w:szCs w:val="24"/>
        </w:rPr>
      </w:pPr>
      <w:proofErr w:type="spellStart"/>
      <w:r w:rsidRPr="009F03A3">
        <w:rPr>
          <w:rFonts w:eastAsia="Times New Roman" w:cs="Arial"/>
          <w:color w:val="2A3135"/>
          <w:szCs w:val="24"/>
          <w:shd w:val="clear" w:color="auto" w:fill="FFFFFF"/>
        </w:rPr>
        <w:t>Rovner</w:t>
      </w:r>
      <w:proofErr w:type="spellEnd"/>
      <w:r w:rsidRPr="009F03A3">
        <w:rPr>
          <w:rFonts w:eastAsia="Times New Roman" w:cs="Arial"/>
          <w:color w:val="2A3135"/>
          <w:szCs w:val="24"/>
          <w:shd w:val="clear" w:color="auto" w:fill="FFFFFF"/>
        </w:rPr>
        <w:t xml:space="preserve">, Julie. 2018. </w:t>
      </w:r>
      <w:hyperlink r:id="rId19" w:history="1">
        <w:r w:rsidRPr="009F03A3">
          <w:rPr>
            <w:rStyle w:val="Hyperlink"/>
            <w:rFonts w:eastAsia="Times New Roman" w:cs="Arial"/>
            <w:szCs w:val="24"/>
            <w:shd w:val="clear" w:color="auto" w:fill="FFFFFF"/>
          </w:rPr>
          <w:t>“Timeline: Despite GOP’s Failure to Repeal Obamacare, the ACA Has Changed.”</w:t>
        </w:r>
      </w:hyperlink>
      <w:r w:rsidRPr="009F03A3">
        <w:rPr>
          <w:rFonts w:eastAsia="Times New Roman" w:cs="Arial"/>
          <w:color w:val="2A3135"/>
          <w:szCs w:val="24"/>
          <w:shd w:val="clear" w:color="auto" w:fill="FFFFFF"/>
        </w:rPr>
        <w:t xml:space="preserve"> Washington Post, April 5.</w:t>
      </w:r>
    </w:p>
    <w:p w14:paraId="5FD90307" w14:textId="77777777" w:rsidR="006236B7" w:rsidRPr="00235E16" w:rsidRDefault="006236B7" w:rsidP="006236B7">
      <w:pPr>
        <w:pStyle w:val="ListParagraph"/>
        <w:spacing w:after="0" w:line="240" w:lineRule="auto"/>
        <w:ind w:left="360"/>
        <w:rPr>
          <w:rFonts w:cs="Arial"/>
          <w:szCs w:val="24"/>
        </w:rPr>
      </w:pPr>
    </w:p>
    <w:p w14:paraId="6E8030FA" w14:textId="012AC421" w:rsidR="00F37E85" w:rsidRPr="00235E16" w:rsidRDefault="00F37E85" w:rsidP="00F37E85">
      <w:pPr>
        <w:rPr>
          <w:rFonts w:cs="Arial"/>
          <w:szCs w:val="24"/>
        </w:rPr>
      </w:pPr>
      <w:r w:rsidRPr="00235E16">
        <w:rPr>
          <w:rFonts w:cs="Arial"/>
          <w:szCs w:val="24"/>
        </w:rPr>
        <w:t>Recommended</w:t>
      </w:r>
      <w:r w:rsidR="006236B7" w:rsidRPr="00235E16">
        <w:rPr>
          <w:rFonts w:cs="Arial"/>
          <w:szCs w:val="24"/>
        </w:rPr>
        <w:t>:</w:t>
      </w:r>
    </w:p>
    <w:p w14:paraId="059004FB" w14:textId="77777777" w:rsidR="009F03A3" w:rsidRPr="009F03A3" w:rsidRDefault="009F03A3" w:rsidP="009F03A3">
      <w:pPr>
        <w:pStyle w:val="ListParagraph"/>
        <w:numPr>
          <w:ilvl w:val="0"/>
          <w:numId w:val="4"/>
        </w:numPr>
        <w:spacing w:after="0" w:line="240" w:lineRule="auto"/>
        <w:rPr>
          <w:rFonts w:cs="Arial"/>
          <w:szCs w:val="24"/>
        </w:rPr>
      </w:pPr>
      <w:r w:rsidRPr="009F03A3">
        <w:rPr>
          <w:rFonts w:cs="Arial"/>
          <w:szCs w:val="24"/>
        </w:rPr>
        <w:t>Views on how the initial Obamacare reform happened from a political scientist who was involved: Hacker, Jacob S. 2010. “The Road to Somewhere: Why Health Reform Happened.” Perspectives on Politics 8 (03) (August 23): 861–876.</w:t>
      </w:r>
    </w:p>
    <w:p w14:paraId="011BCFAE" w14:textId="77777777" w:rsidR="009F03A3" w:rsidRPr="009F03A3" w:rsidRDefault="009F03A3" w:rsidP="009F03A3">
      <w:pPr>
        <w:pStyle w:val="ListParagraph"/>
        <w:numPr>
          <w:ilvl w:val="0"/>
          <w:numId w:val="4"/>
        </w:numPr>
        <w:spacing w:after="0" w:line="240" w:lineRule="auto"/>
        <w:rPr>
          <w:rFonts w:eastAsia="Times New Roman" w:cs="Arial"/>
          <w:szCs w:val="24"/>
        </w:rPr>
      </w:pPr>
      <w:r w:rsidRPr="009F03A3">
        <w:rPr>
          <w:rFonts w:cs="Arial"/>
          <w:szCs w:val="24"/>
        </w:rPr>
        <w:t xml:space="preserve">Update on Texas judge’s ruling that the Affordable Care Act is unconstitutional: </w:t>
      </w:r>
      <w:proofErr w:type="spellStart"/>
      <w:r w:rsidRPr="009F03A3">
        <w:rPr>
          <w:rFonts w:eastAsia="Times New Roman" w:cs="Arial"/>
          <w:color w:val="2A3135"/>
          <w:szCs w:val="24"/>
          <w:shd w:val="clear" w:color="auto" w:fill="FFFFFF"/>
        </w:rPr>
        <w:t>Mervosh</w:t>
      </w:r>
      <w:proofErr w:type="spellEnd"/>
      <w:r w:rsidRPr="009F03A3">
        <w:rPr>
          <w:rFonts w:eastAsia="Times New Roman" w:cs="Arial"/>
          <w:color w:val="2A3135"/>
          <w:szCs w:val="24"/>
          <w:shd w:val="clear" w:color="auto" w:fill="FFFFFF"/>
        </w:rPr>
        <w:t xml:space="preserve">, Sarah. 2018. </w:t>
      </w:r>
      <w:hyperlink r:id="rId20" w:history="1">
        <w:r w:rsidRPr="009F03A3">
          <w:rPr>
            <w:rStyle w:val="Hyperlink"/>
            <w:rFonts w:eastAsia="Times New Roman" w:cs="Arial"/>
            <w:szCs w:val="24"/>
            <w:shd w:val="clear" w:color="auto" w:fill="FFFFFF"/>
          </w:rPr>
          <w:t>“Obamacare, Ruled Invalid by Federal Judge, Will Remain in Effect During Appeal .”</w:t>
        </w:r>
      </w:hyperlink>
      <w:r w:rsidRPr="009F03A3">
        <w:rPr>
          <w:rFonts w:eastAsia="Times New Roman" w:cs="Arial"/>
          <w:color w:val="2A3135"/>
          <w:szCs w:val="24"/>
          <w:shd w:val="clear" w:color="auto" w:fill="FFFFFF"/>
        </w:rPr>
        <w:t xml:space="preserve"> New York Times, December 30.</w:t>
      </w:r>
    </w:p>
    <w:p w14:paraId="0F1EA18C" w14:textId="4652F678" w:rsidR="006236B7" w:rsidRPr="00235E16" w:rsidRDefault="00F37E85" w:rsidP="00C102A9">
      <w:pPr>
        <w:spacing w:after="0" w:line="240" w:lineRule="auto"/>
        <w:ind w:left="360"/>
        <w:rPr>
          <w:rFonts w:cs="Arial"/>
          <w:szCs w:val="24"/>
        </w:rPr>
      </w:pPr>
      <w:r w:rsidRPr="00235E16">
        <w:rPr>
          <w:rFonts w:cs="Arial"/>
          <w:szCs w:val="24"/>
        </w:rPr>
        <w:t xml:space="preserve"> </w:t>
      </w:r>
    </w:p>
    <w:p w14:paraId="13DB173F" w14:textId="61A5C1E2" w:rsidR="00DF6749" w:rsidRPr="00235E16" w:rsidRDefault="00DF6749" w:rsidP="00DF6749">
      <w:pPr>
        <w:pStyle w:val="Heading2"/>
      </w:pPr>
      <w:bookmarkStart w:id="29" w:name="_Toc534793484"/>
      <w:r w:rsidRPr="00235E16">
        <w:t>Week 12</w:t>
      </w:r>
      <w:r w:rsidR="000213DC" w:rsidRPr="00235E16">
        <w:t xml:space="preserve"> (</w:t>
      </w:r>
      <w:r w:rsidR="004215BA">
        <w:t>Apr 4</w:t>
      </w:r>
      <w:r w:rsidR="000213DC" w:rsidRPr="00235E16">
        <w:t>)</w:t>
      </w:r>
      <w:r w:rsidR="00FE4C33" w:rsidRPr="00235E16">
        <w:t xml:space="preserve"> </w:t>
      </w:r>
      <w:r w:rsidR="00FB0E8B" w:rsidRPr="00235E16">
        <w:t>Research presentations</w:t>
      </w:r>
      <w:bookmarkEnd w:id="29"/>
    </w:p>
    <w:p w14:paraId="4E2EB364" w14:textId="441BAA3A" w:rsidR="00953AF2" w:rsidRPr="00235E16" w:rsidRDefault="00953AF2" w:rsidP="00953AF2">
      <w:pPr>
        <w:rPr>
          <w:rFonts w:cs="Arial"/>
          <w:szCs w:val="24"/>
        </w:rPr>
      </w:pPr>
      <w:r w:rsidRPr="00235E16">
        <w:rPr>
          <w:rFonts w:cs="Arial"/>
          <w:szCs w:val="24"/>
        </w:rPr>
        <w:t xml:space="preserve">No required readings; each student will present a </w:t>
      </w:r>
      <w:proofErr w:type="gramStart"/>
      <w:r w:rsidR="009F03A3">
        <w:rPr>
          <w:rFonts w:cs="Arial"/>
          <w:szCs w:val="24"/>
        </w:rPr>
        <w:t>3</w:t>
      </w:r>
      <w:r w:rsidRPr="00235E16">
        <w:rPr>
          <w:rFonts w:cs="Arial"/>
          <w:szCs w:val="24"/>
        </w:rPr>
        <w:t xml:space="preserve"> minute</w:t>
      </w:r>
      <w:proofErr w:type="gramEnd"/>
      <w:r w:rsidRPr="00235E16">
        <w:rPr>
          <w:rFonts w:cs="Arial"/>
          <w:szCs w:val="24"/>
        </w:rPr>
        <w:t xml:space="preserve"> overview of their research findings. Presenters are encouraged to </w:t>
      </w:r>
      <w:r w:rsidR="009F03A3">
        <w:rPr>
          <w:rFonts w:cs="Arial"/>
          <w:szCs w:val="24"/>
        </w:rPr>
        <w:t>explain the significance of the problem they have chosen, and outline the policy solutions they are proposing. T</w:t>
      </w:r>
      <w:r w:rsidRPr="00235E16">
        <w:rPr>
          <w:rFonts w:cs="Arial"/>
          <w:szCs w:val="24"/>
        </w:rPr>
        <w:t xml:space="preserve">he audience is expected to raise constructive questions. Slides are </w:t>
      </w:r>
      <w:r w:rsidR="009F03A3">
        <w:rPr>
          <w:rFonts w:cs="Arial"/>
          <w:szCs w:val="24"/>
        </w:rPr>
        <w:t>not permitted</w:t>
      </w:r>
      <w:r w:rsidRPr="00235E16">
        <w:rPr>
          <w:rFonts w:cs="Arial"/>
          <w:szCs w:val="24"/>
        </w:rPr>
        <w:t>, and time limits will be strictly enforced!</w:t>
      </w:r>
    </w:p>
    <w:p w14:paraId="74FDCA19" w14:textId="5F79F889" w:rsidR="00953AF2" w:rsidRPr="00235E16" w:rsidRDefault="009F03A3" w:rsidP="00953AF2">
      <w:pPr>
        <w:pStyle w:val="Heading2"/>
      </w:pPr>
      <w:bookmarkStart w:id="30" w:name="_Toc534793485"/>
      <w:r>
        <w:lastRenderedPageBreak/>
        <w:t>April 7</w:t>
      </w:r>
      <w:r w:rsidR="00953AF2" w:rsidRPr="00235E16">
        <w:t xml:space="preserve">: </w:t>
      </w:r>
      <w:r>
        <w:t>Decision note due by 11.59pm, by email</w:t>
      </w:r>
      <w:bookmarkEnd w:id="30"/>
    </w:p>
    <w:p w14:paraId="6BCAF341" w14:textId="77777777" w:rsidR="00A05C89" w:rsidRPr="00235E16" w:rsidRDefault="00A05C89" w:rsidP="009F7FC2">
      <w:pPr>
        <w:pStyle w:val="Heading1"/>
      </w:pPr>
      <w:bookmarkStart w:id="31" w:name="_Toc534793486"/>
      <w:r w:rsidRPr="00235E16">
        <w:t>Course Policies</w:t>
      </w:r>
      <w:bookmarkEnd w:id="31"/>
    </w:p>
    <w:p w14:paraId="63E2FF1F" w14:textId="77777777" w:rsidR="00A05C89" w:rsidRPr="00235E16" w:rsidRDefault="00A05C89" w:rsidP="008E2CC8">
      <w:pPr>
        <w:pStyle w:val="Heading2"/>
      </w:pPr>
      <w:bookmarkStart w:id="32" w:name="_Toc534793487"/>
      <w:r w:rsidRPr="00235E16">
        <w:t>Submission of Assignments</w:t>
      </w:r>
      <w:bookmarkEnd w:id="32"/>
    </w:p>
    <w:p w14:paraId="1D38BE02" w14:textId="6CAA65D4" w:rsidR="0061410A" w:rsidRPr="00235E16" w:rsidRDefault="0061410A" w:rsidP="008E2CC8">
      <w:r w:rsidRPr="00235E16">
        <w:t xml:space="preserve">All assignments should be typed using a standard 12-point font, </w:t>
      </w:r>
      <w:r w:rsidR="007A4471" w:rsidRPr="00235E16">
        <w:t>single</w:t>
      </w:r>
      <w:r w:rsidRPr="00235E16">
        <w:t xml:space="preserve"> </w:t>
      </w:r>
      <w:r w:rsidR="007A4471" w:rsidRPr="00235E16">
        <w:t>spaced</w:t>
      </w:r>
      <w:r w:rsidRPr="00235E16">
        <w:t>, and standard 1 inch margins. All written assignments require formal citations and a bibliography. Any standard citation style is acceptable (</w:t>
      </w:r>
      <w:hyperlink r:id="rId21" w:history="1">
        <w:r w:rsidRPr="00653FBA">
          <w:rPr>
            <w:rStyle w:val="Hyperlink"/>
            <w:rFonts w:cs="Arial"/>
            <w:szCs w:val="24"/>
          </w:rPr>
          <w:t>for example, APA or Chicago style</w:t>
        </w:r>
      </w:hyperlink>
      <w:r w:rsidR="00653FBA">
        <w:rPr>
          <w:rFonts w:cs="Arial"/>
          <w:szCs w:val="24"/>
        </w:rPr>
        <w:t>).</w:t>
      </w:r>
    </w:p>
    <w:p w14:paraId="16622181" w14:textId="3CE0B78C" w:rsidR="008E2CC8" w:rsidRPr="00235E16" w:rsidRDefault="0061410A" w:rsidP="008E2CC8">
      <w:r w:rsidRPr="00235E16">
        <w:t xml:space="preserve">All written assignments are to be submitted in </w:t>
      </w:r>
      <w:r w:rsidR="003D01DB" w:rsidRPr="00235E16">
        <w:t>via email at the specified time on</w:t>
      </w:r>
      <w:r w:rsidRPr="00235E16">
        <w:t xml:space="preserve"> their due date.</w:t>
      </w:r>
    </w:p>
    <w:p w14:paraId="4DAC1227" w14:textId="77777777" w:rsidR="0096307B" w:rsidRPr="00235E16" w:rsidRDefault="0096307B" w:rsidP="0096307B">
      <w:pPr>
        <w:pStyle w:val="Heading2"/>
      </w:pPr>
      <w:bookmarkStart w:id="33" w:name="_Toc534793488"/>
      <w:r w:rsidRPr="00235E16">
        <w:t>Grades</w:t>
      </w:r>
      <w:bookmarkEnd w:id="33"/>
    </w:p>
    <w:p w14:paraId="06CEE4B1" w14:textId="66AD66B1" w:rsidR="007522A3" w:rsidRPr="00235E16" w:rsidRDefault="0096307B" w:rsidP="0096307B">
      <w:r w:rsidRPr="00235E16">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Student Grading Scale"/>
      </w:tblPr>
      <w:tblGrid>
        <w:gridCol w:w="1440"/>
        <w:gridCol w:w="1440"/>
        <w:gridCol w:w="1440"/>
        <w:gridCol w:w="1440"/>
      </w:tblGrid>
      <w:tr w:rsidR="00C102A9" w:rsidRPr="00235E16" w14:paraId="2BBA87D3" w14:textId="77777777" w:rsidTr="00FC12F2">
        <w:trPr>
          <w:gridAfter w:val="2"/>
          <w:wAfter w:w="2880" w:type="dxa"/>
          <w:cantSplit/>
          <w:tblHeader/>
        </w:trPr>
        <w:tc>
          <w:tcPr>
            <w:tcW w:w="1440" w:type="dxa"/>
          </w:tcPr>
          <w:p w14:paraId="7D272700" w14:textId="3E28A58D" w:rsidR="00C102A9" w:rsidRPr="00235E16" w:rsidRDefault="00C102A9" w:rsidP="00CA09E7">
            <w:pPr>
              <w:spacing w:after="0"/>
              <w:rPr>
                <w:rFonts w:cs="Arial"/>
                <w:b/>
                <w:bCs/>
                <w:color w:val="000000"/>
              </w:rPr>
            </w:pPr>
            <w:r w:rsidRPr="0096307B">
              <w:rPr>
                <w:rFonts w:cs="Arial"/>
                <w:b/>
                <w:bCs/>
                <w:color w:val="000000"/>
                <w:lang w:val="en-US"/>
              </w:rPr>
              <w:t>MARK</w:t>
            </w:r>
          </w:p>
        </w:tc>
        <w:tc>
          <w:tcPr>
            <w:tcW w:w="1440" w:type="dxa"/>
          </w:tcPr>
          <w:p w14:paraId="62101B04" w14:textId="3863D762" w:rsidR="00C102A9" w:rsidRPr="00235E16" w:rsidRDefault="00C102A9" w:rsidP="00CA09E7">
            <w:pPr>
              <w:spacing w:after="0"/>
              <w:rPr>
                <w:rFonts w:cs="Arial"/>
                <w:b/>
                <w:bCs/>
                <w:color w:val="000000"/>
              </w:rPr>
            </w:pPr>
            <w:r w:rsidRPr="0096307B">
              <w:rPr>
                <w:rFonts w:cs="Arial"/>
                <w:b/>
                <w:bCs/>
                <w:color w:val="000000"/>
                <w:lang w:val="en-US"/>
              </w:rPr>
              <w:t>GRADE</w:t>
            </w:r>
          </w:p>
        </w:tc>
      </w:tr>
      <w:tr w:rsidR="00C102A9" w:rsidRPr="00235E16" w14:paraId="6937CC2C" w14:textId="77777777" w:rsidTr="00FC12F2">
        <w:trPr>
          <w:gridAfter w:val="2"/>
          <w:wAfter w:w="2880" w:type="dxa"/>
          <w:cantSplit/>
        </w:trPr>
        <w:tc>
          <w:tcPr>
            <w:tcW w:w="1440" w:type="dxa"/>
          </w:tcPr>
          <w:p w14:paraId="78D16430" w14:textId="694A972D" w:rsidR="00C102A9" w:rsidRPr="00235E16" w:rsidRDefault="00C102A9" w:rsidP="00CA09E7">
            <w:pPr>
              <w:spacing w:after="0"/>
              <w:rPr>
                <w:rFonts w:cs="Arial"/>
                <w:color w:val="000000"/>
              </w:rPr>
            </w:pPr>
            <w:r w:rsidRPr="0096307B">
              <w:rPr>
                <w:rFonts w:cs="Arial"/>
                <w:color w:val="000000"/>
                <w:lang w:val="en-US"/>
              </w:rPr>
              <w:t>90-100</w:t>
            </w:r>
          </w:p>
        </w:tc>
        <w:tc>
          <w:tcPr>
            <w:tcW w:w="1440" w:type="dxa"/>
          </w:tcPr>
          <w:p w14:paraId="13FD71B6" w14:textId="6D968B9C" w:rsidR="00C102A9" w:rsidRPr="00235E16" w:rsidRDefault="00C102A9" w:rsidP="00CA09E7">
            <w:pPr>
              <w:spacing w:after="0"/>
              <w:rPr>
                <w:rFonts w:cs="Arial"/>
                <w:color w:val="000000"/>
              </w:rPr>
            </w:pPr>
            <w:r w:rsidRPr="0096307B">
              <w:rPr>
                <w:rFonts w:cs="Arial"/>
                <w:color w:val="000000"/>
                <w:lang w:val="en-US"/>
              </w:rPr>
              <w:t>A+</w:t>
            </w:r>
          </w:p>
        </w:tc>
      </w:tr>
      <w:tr w:rsidR="00C102A9" w:rsidRPr="00235E16" w14:paraId="1E040A63" w14:textId="77777777" w:rsidTr="00FC12F2">
        <w:trPr>
          <w:gridAfter w:val="2"/>
          <w:wAfter w:w="2880" w:type="dxa"/>
          <w:cantSplit/>
        </w:trPr>
        <w:tc>
          <w:tcPr>
            <w:tcW w:w="1440" w:type="dxa"/>
          </w:tcPr>
          <w:p w14:paraId="07C16799" w14:textId="4376DFF3" w:rsidR="00C102A9" w:rsidRPr="00235E16" w:rsidRDefault="00C102A9" w:rsidP="00CA09E7">
            <w:pPr>
              <w:spacing w:after="0"/>
              <w:rPr>
                <w:rFonts w:cs="Arial"/>
                <w:color w:val="000000"/>
              </w:rPr>
            </w:pPr>
            <w:r w:rsidRPr="0096307B">
              <w:rPr>
                <w:rFonts w:cs="Arial"/>
                <w:color w:val="000000"/>
                <w:lang w:val="en-US"/>
              </w:rPr>
              <w:t>85-90</w:t>
            </w:r>
          </w:p>
        </w:tc>
        <w:tc>
          <w:tcPr>
            <w:tcW w:w="1440" w:type="dxa"/>
          </w:tcPr>
          <w:p w14:paraId="21B00BC3" w14:textId="427A45EB" w:rsidR="00C102A9" w:rsidRPr="00235E16" w:rsidRDefault="00C102A9" w:rsidP="00CA09E7">
            <w:pPr>
              <w:spacing w:after="0"/>
              <w:rPr>
                <w:rFonts w:cs="Arial"/>
                <w:color w:val="000000"/>
              </w:rPr>
            </w:pPr>
            <w:r w:rsidRPr="0096307B">
              <w:rPr>
                <w:rFonts w:cs="Arial"/>
                <w:color w:val="000000"/>
                <w:lang w:val="en-US"/>
              </w:rPr>
              <w:t>A</w:t>
            </w:r>
          </w:p>
        </w:tc>
      </w:tr>
      <w:tr w:rsidR="00C102A9" w:rsidRPr="00235E16" w14:paraId="71F96BB1" w14:textId="77777777" w:rsidTr="00FC12F2">
        <w:trPr>
          <w:gridAfter w:val="2"/>
          <w:wAfter w:w="2880" w:type="dxa"/>
          <w:cantSplit/>
        </w:trPr>
        <w:tc>
          <w:tcPr>
            <w:tcW w:w="1440" w:type="dxa"/>
          </w:tcPr>
          <w:p w14:paraId="530C7016" w14:textId="67D91DA3" w:rsidR="00C102A9" w:rsidRPr="00235E16" w:rsidRDefault="00C102A9" w:rsidP="00CA09E7">
            <w:pPr>
              <w:spacing w:after="0"/>
              <w:rPr>
                <w:rFonts w:cs="Arial"/>
                <w:color w:val="000000"/>
              </w:rPr>
            </w:pPr>
            <w:r w:rsidRPr="0096307B">
              <w:rPr>
                <w:rFonts w:cs="Arial"/>
                <w:color w:val="000000"/>
                <w:lang w:val="en-US"/>
              </w:rPr>
              <w:t>80-84</w:t>
            </w:r>
          </w:p>
        </w:tc>
        <w:tc>
          <w:tcPr>
            <w:tcW w:w="1440" w:type="dxa"/>
          </w:tcPr>
          <w:p w14:paraId="1F34EF29" w14:textId="0F52EB2E" w:rsidR="00C102A9" w:rsidRPr="00235E16" w:rsidRDefault="00C102A9" w:rsidP="00CA09E7">
            <w:pPr>
              <w:spacing w:after="0"/>
              <w:rPr>
                <w:rFonts w:cs="Arial"/>
                <w:color w:val="000000"/>
              </w:rPr>
            </w:pPr>
            <w:r w:rsidRPr="0096307B">
              <w:rPr>
                <w:rFonts w:cs="Arial"/>
                <w:color w:val="000000"/>
                <w:lang w:val="en-US"/>
              </w:rPr>
              <w:t>A-</w:t>
            </w:r>
          </w:p>
        </w:tc>
      </w:tr>
      <w:tr w:rsidR="00C102A9" w:rsidRPr="00235E16" w14:paraId="78B4054E" w14:textId="77777777" w:rsidTr="00FC12F2">
        <w:trPr>
          <w:gridAfter w:val="2"/>
          <w:wAfter w:w="2880" w:type="dxa"/>
          <w:cantSplit/>
        </w:trPr>
        <w:tc>
          <w:tcPr>
            <w:tcW w:w="1440" w:type="dxa"/>
          </w:tcPr>
          <w:p w14:paraId="24118129" w14:textId="7B150BF0" w:rsidR="00C102A9" w:rsidRPr="00235E16" w:rsidRDefault="00C102A9" w:rsidP="00CA09E7">
            <w:pPr>
              <w:spacing w:after="0"/>
              <w:rPr>
                <w:rFonts w:cs="Arial"/>
                <w:color w:val="000000"/>
              </w:rPr>
            </w:pPr>
            <w:r w:rsidRPr="0096307B">
              <w:rPr>
                <w:rFonts w:cs="Arial"/>
                <w:color w:val="000000"/>
                <w:lang w:val="en-US"/>
              </w:rPr>
              <w:t>77-79</w:t>
            </w:r>
          </w:p>
        </w:tc>
        <w:tc>
          <w:tcPr>
            <w:tcW w:w="1440" w:type="dxa"/>
          </w:tcPr>
          <w:p w14:paraId="4E94B54B" w14:textId="7177FA49" w:rsidR="00C102A9" w:rsidRPr="00235E16" w:rsidRDefault="00C102A9" w:rsidP="00CA09E7">
            <w:pPr>
              <w:spacing w:after="0"/>
              <w:rPr>
                <w:rFonts w:cs="Arial"/>
                <w:color w:val="000000"/>
              </w:rPr>
            </w:pPr>
            <w:r w:rsidRPr="0096307B">
              <w:rPr>
                <w:rFonts w:cs="Arial"/>
                <w:color w:val="000000"/>
                <w:lang w:val="en-US"/>
              </w:rPr>
              <w:t>B+</w:t>
            </w:r>
          </w:p>
        </w:tc>
      </w:tr>
      <w:tr w:rsidR="00C102A9" w:rsidRPr="00235E16" w14:paraId="5A62762E" w14:textId="77777777" w:rsidTr="00FC12F2">
        <w:trPr>
          <w:gridAfter w:val="2"/>
          <w:wAfter w:w="2880" w:type="dxa"/>
          <w:cantSplit/>
        </w:trPr>
        <w:tc>
          <w:tcPr>
            <w:tcW w:w="1440" w:type="dxa"/>
          </w:tcPr>
          <w:p w14:paraId="1118AD94" w14:textId="22C9A55A" w:rsidR="00C102A9" w:rsidRPr="00235E16" w:rsidRDefault="00C102A9" w:rsidP="00CA09E7">
            <w:pPr>
              <w:spacing w:after="0"/>
              <w:rPr>
                <w:rFonts w:cs="Arial"/>
                <w:color w:val="000000"/>
              </w:rPr>
            </w:pPr>
            <w:r w:rsidRPr="0096307B">
              <w:rPr>
                <w:rFonts w:cs="Arial"/>
                <w:color w:val="000000"/>
                <w:lang w:val="en-US"/>
              </w:rPr>
              <w:t>73-76</w:t>
            </w:r>
          </w:p>
        </w:tc>
        <w:tc>
          <w:tcPr>
            <w:tcW w:w="1440" w:type="dxa"/>
          </w:tcPr>
          <w:p w14:paraId="7AC7AE40" w14:textId="2CD937A7" w:rsidR="00C102A9" w:rsidRPr="00235E16" w:rsidRDefault="00C102A9" w:rsidP="00CA09E7">
            <w:pPr>
              <w:spacing w:after="0"/>
              <w:rPr>
                <w:rFonts w:cs="Arial"/>
                <w:color w:val="000000"/>
              </w:rPr>
            </w:pPr>
            <w:r w:rsidRPr="0096307B">
              <w:rPr>
                <w:rFonts w:cs="Arial"/>
                <w:color w:val="000000"/>
                <w:lang w:val="en-US"/>
              </w:rPr>
              <w:t>B</w:t>
            </w:r>
          </w:p>
        </w:tc>
      </w:tr>
      <w:tr w:rsidR="00C102A9" w:rsidRPr="00235E16" w14:paraId="2CAFBE54" w14:textId="77777777" w:rsidTr="00FC12F2">
        <w:trPr>
          <w:gridAfter w:val="2"/>
          <w:wAfter w:w="2880" w:type="dxa"/>
          <w:cantSplit/>
        </w:trPr>
        <w:tc>
          <w:tcPr>
            <w:tcW w:w="1440" w:type="dxa"/>
          </w:tcPr>
          <w:p w14:paraId="6F655F0B" w14:textId="2438BFDC" w:rsidR="00C102A9" w:rsidRPr="00235E16" w:rsidRDefault="00C102A9" w:rsidP="00CA09E7">
            <w:pPr>
              <w:spacing w:after="0"/>
              <w:rPr>
                <w:rFonts w:cs="Arial"/>
                <w:color w:val="000000"/>
              </w:rPr>
            </w:pPr>
            <w:r w:rsidRPr="0096307B">
              <w:rPr>
                <w:rFonts w:cs="Arial"/>
                <w:color w:val="000000"/>
                <w:lang w:val="en-US"/>
              </w:rPr>
              <w:t>70-72</w:t>
            </w:r>
          </w:p>
        </w:tc>
        <w:tc>
          <w:tcPr>
            <w:tcW w:w="1440" w:type="dxa"/>
          </w:tcPr>
          <w:p w14:paraId="1EFC2E5F" w14:textId="30252B9F" w:rsidR="00C102A9" w:rsidRPr="00235E16" w:rsidRDefault="00C102A9" w:rsidP="00CA09E7">
            <w:pPr>
              <w:spacing w:after="0"/>
              <w:rPr>
                <w:rFonts w:cs="Arial"/>
                <w:color w:val="000000"/>
              </w:rPr>
            </w:pPr>
            <w:r w:rsidRPr="0096307B">
              <w:rPr>
                <w:rFonts w:cs="Arial"/>
                <w:color w:val="000000"/>
                <w:lang w:val="en-US"/>
              </w:rPr>
              <w:t>B-</w:t>
            </w:r>
          </w:p>
        </w:tc>
      </w:tr>
      <w:tr w:rsidR="00C102A9" w:rsidRPr="00235E16" w14:paraId="32034C68" w14:textId="77777777" w:rsidTr="00FC12F2">
        <w:trPr>
          <w:gridAfter w:val="2"/>
          <w:wAfter w:w="2880" w:type="dxa"/>
          <w:cantSplit/>
        </w:trPr>
        <w:tc>
          <w:tcPr>
            <w:tcW w:w="1440" w:type="dxa"/>
          </w:tcPr>
          <w:p w14:paraId="4943175F" w14:textId="1D073E4B" w:rsidR="00C102A9" w:rsidRPr="00235E16" w:rsidRDefault="00C102A9" w:rsidP="00CA09E7">
            <w:pPr>
              <w:spacing w:after="0"/>
              <w:rPr>
                <w:rFonts w:cs="Arial"/>
                <w:color w:val="000000"/>
              </w:rPr>
            </w:pPr>
            <w:r w:rsidRPr="0096307B">
              <w:rPr>
                <w:rFonts w:cs="Arial"/>
                <w:color w:val="000000"/>
                <w:lang w:val="en-US"/>
              </w:rPr>
              <w:t>67-69</w:t>
            </w:r>
          </w:p>
        </w:tc>
        <w:tc>
          <w:tcPr>
            <w:tcW w:w="1440" w:type="dxa"/>
          </w:tcPr>
          <w:p w14:paraId="2DE47F97" w14:textId="39ED7A52" w:rsidR="00C102A9" w:rsidRPr="00235E16" w:rsidRDefault="00C102A9" w:rsidP="00CA09E7">
            <w:pPr>
              <w:spacing w:after="0"/>
              <w:rPr>
                <w:rFonts w:cs="Arial"/>
                <w:color w:val="000000"/>
              </w:rPr>
            </w:pPr>
            <w:r w:rsidRPr="0096307B">
              <w:rPr>
                <w:rFonts w:cs="Arial"/>
                <w:color w:val="000000"/>
                <w:lang w:val="en-US"/>
              </w:rPr>
              <w:t>C+</w:t>
            </w:r>
          </w:p>
        </w:tc>
      </w:tr>
      <w:tr w:rsidR="00C102A9" w:rsidRPr="00235E16" w14:paraId="7D1A02AC" w14:textId="77777777" w:rsidTr="00FC12F2">
        <w:trPr>
          <w:cantSplit/>
        </w:trPr>
        <w:tc>
          <w:tcPr>
            <w:tcW w:w="1440" w:type="dxa"/>
          </w:tcPr>
          <w:p w14:paraId="1F4D542C" w14:textId="69E5760B" w:rsidR="00C102A9" w:rsidRPr="0096307B" w:rsidRDefault="00C102A9" w:rsidP="00CA09E7">
            <w:pPr>
              <w:spacing w:after="0"/>
              <w:rPr>
                <w:rFonts w:cs="Arial"/>
                <w:color w:val="000000"/>
              </w:rPr>
            </w:pPr>
            <w:r w:rsidRPr="0096307B">
              <w:rPr>
                <w:rFonts w:cs="Arial"/>
                <w:color w:val="000000"/>
                <w:lang w:val="en-US"/>
              </w:rPr>
              <w:t>63-66</w:t>
            </w:r>
          </w:p>
        </w:tc>
        <w:tc>
          <w:tcPr>
            <w:tcW w:w="1440" w:type="dxa"/>
          </w:tcPr>
          <w:p w14:paraId="74A2DEE4" w14:textId="22EE840D" w:rsidR="00C102A9" w:rsidRPr="0096307B" w:rsidRDefault="00C102A9" w:rsidP="00CA09E7">
            <w:pPr>
              <w:spacing w:after="0"/>
              <w:rPr>
                <w:rFonts w:cs="Arial"/>
                <w:color w:val="000000"/>
              </w:rPr>
            </w:pPr>
            <w:r w:rsidRPr="0096307B">
              <w:rPr>
                <w:rFonts w:cs="Arial"/>
                <w:color w:val="000000"/>
                <w:lang w:val="en-US"/>
              </w:rPr>
              <w:t>C</w:t>
            </w:r>
          </w:p>
        </w:tc>
        <w:tc>
          <w:tcPr>
            <w:tcW w:w="1440" w:type="dxa"/>
          </w:tcPr>
          <w:p w14:paraId="274DD8E6" w14:textId="77777777" w:rsidR="00C102A9" w:rsidRPr="00235E16" w:rsidRDefault="00C102A9" w:rsidP="00CA09E7">
            <w:pPr>
              <w:spacing w:after="0"/>
              <w:rPr>
                <w:rFonts w:cs="Arial"/>
                <w:color w:val="000000"/>
              </w:rPr>
            </w:pPr>
          </w:p>
        </w:tc>
        <w:tc>
          <w:tcPr>
            <w:tcW w:w="1440" w:type="dxa"/>
          </w:tcPr>
          <w:p w14:paraId="7086C3FF" w14:textId="77777777" w:rsidR="00C102A9" w:rsidRPr="00235E16" w:rsidRDefault="00C102A9" w:rsidP="00CA09E7">
            <w:pPr>
              <w:spacing w:after="0"/>
              <w:rPr>
                <w:rFonts w:cs="Arial"/>
                <w:color w:val="000000"/>
              </w:rPr>
            </w:pPr>
          </w:p>
        </w:tc>
      </w:tr>
      <w:tr w:rsidR="00C102A9" w:rsidRPr="00235E16" w14:paraId="42CC90A1" w14:textId="77777777" w:rsidTr="00FC12F2">
        <w:trPr>
          <w:cantSplit/>
        </w:trPr>
        <w:tc>
          <w:tcPr>
            <w:tcW w:w="1440" w:type="dxa"/>
          </w:tcPr>
          <w:p w14:paraId="1A1F4669" w14:textId="3CD5463F" w:rsidR="00C102A9" w:rsidRPr="0096307B" w:rsidRDefault="00C102A9" w:rsidP="00CA09E7">
            <w:pPr>
              <w:spacing w:after="0"/>
              <w:rPr>
                <w:rFonts w:cs="Arial"/>
                <w:color w:val="000000"/>
              </w:rPr>
            </w:pPr>
            <w:r w:rsidRPr="0096307B">
              <w:rPr>
                <w:rFonts w:cs="Arial"/>
                <w:color w:val="000000"/>
                <w:lang w:val="en-US"/>
              </w:rPr>
              <w:t>60-62</w:t>
            </w:r>
          </w:p>
        </w:tc>
        <w:tc>
          <w:tcPr>
            <w:tcW w:w="1440" w:type="dxa"/>
          </w:tcPr>
          <w:p w14:paraId="3CDCE0EB" w14:textId="5CF4A146" w:rsidR="00C102A9" w:rsidRPr="0096307B" w:rsidRDefault="00C102A9" w:rsidP="00CA09E7">
            <w:pPr>
              <w:spacing w:after="0"/>
              <w:rPr>
                <w:rFonts w:cs="Arial"/>
                <w:color w:val="000000"/>
              </w:rPr>
            </w:pPr>
            <w:r w:rsidRPr="0096307B">
              <w:rPr>
                <w:rFonts w:cs="Arial"/>
                <w:color w:val="000000"/>
                <w:lang w:val="en-US"/>
              </w:rPr>
              <w:t>C-</w:t>
            </w:r>
          </w:p>
        </w:tc>
        <w:tc>
          <w:tcPr>
            <w:tcW w:w="1440" w:type="dxa"/>
          </w:tcPr>
          <w:p w14:paraId="00AD68BF" w14:textId="77777777" w:rsidR="00C102A9" w:rsidRPr="00235E16" w:rsidRDefault="00C102A9" w:rsidP="00CA09E7">
            <w:pPr>
              <w:spacing w:after="0"/>
              <w:rPr>
                <w:rFonts w:cs="Arial"/>
                <w:color w:val="000000"/>
              </w:rPr>
            </w:pPr>
          </w:p>
        </w:tc>
        <w:tc>
          <w:tcPr>
            <w:tcW w:w="1440" w:type="dxa"/>
          </w:tcPr>
          <w:p w14:paraId="179824E8" w14:textId="77777777" w:rsidR="00C102A9" w:rsidRPr="00235E16" w:rsidRDefault="00C102A9" w:rsidP="00CA09E7">
            <w:pPr>
              <w:spacing w:after="0"/>
              <w:rPr>
                <w:rFonts w:cs="Arial"/>
                <w:color w:val="000000"/>
              </w:rPr>
            </w:pPr>
          </w:p>
        </w:tc>
      </w:tr>
      <w:tr w:rsidR="00C102A9" w:rsidRPr="00235E16" w14:paraId="6D0BF6B1" w14:textId="77777777" w:rsidTr="00FC12F2">
        <w:trPr>
          <w:cantSplit/>
        </w:trPr>
        <w:tc>
          <w:tcPr>
            <w:tcW w:w="1440" w:type="dxa"/>
          </w:tcPr>
          <w:p w14:paraId="66F7C37B" w14:textId="7F03CA33" w:rsidR="00C102A9" w:rsidRPr="0096307B" w:rsidRDefault="00C102A9" w:rsidP="00CA09E7">
            <w:pPr>
              <w:spacing w:after="0"/>
              <w:rPr>
                <w:rFonts w:cs="Arial"/>
                <w:color w:val="000000"/>
              </w:rPr>
            </w:pPr>
            <w:r w:rsidRPr="0096307B">
              <w:rPr>
                <w:rFonts w:cs="Arial"/>
                <w:color w:val="000000"/>
                <w:lang w:val="en-US"/>
              </w:rPr>
              <w:t>57-59</w:t>
            </w:r>
          </w:p>
        </w:tc>
        <w:tc>
          <w:tcPr>
            <w:tcW w:w="1440" w:type="dxa"/>
          </w:tcPr>
          <w:p w14:paraId="4A134210" w14:textId="4F7107EE" w:rsidR="00C102A9" w:rsidRPr="0096307B" w:rsidRDefault="00C102A9" w:rsidP="00CA09E7">
            <w:pPr>
              <w:spacing w:after="0"/>
              <w:rPr>
                <w:rFonts w:cs="Arial"/>
                <w:color w:val="000000"/>
              </w:rPr>
            </w:pPr>
            <w:r w:rsidRPr="0096307B">
              <w:rPr>
                <w:rFonts w:cs="Arial"/>
                <w:color w:val="000000"/>
                <w:lang w:val="en-US"/>
              </w:rPr>
              <w:t>D+</w:t>
            </w:r>
          </w:p>
        </w:tc>
        <w:tc>
          <w:tcPr>
            <w:tcW w:w="1440" w:type="dxa"/>
          </w:tcPr>
          <w:p w14:paraId="5FDA4DBB" w14:textId="77777777" w:rsidR="00C102A9" w:rsidRPr="00235E16" w:rsidRDefault="00C102A9" w:rsidP="00CA09E7">
            <w:pPr>
              <w:spacing w:after="0"/>
              <w:rPr>
                <w:rFonts w:cs="Arial"/>
                <w:color w:val="000000"/>
              </w:rPr>
            </w:pPr>
          </w:p>
        </w:tc>
        <w:tc>
          <w:tcPr>
            <w:tcW w:w="1440" w:type="dxa"/>
          </w:tcPr>
          <w:p w14:paraId="54E4EAAE" w14:textId="77777777" w:rsidR="00C102A9" w:rsidRPr="00235E16" w:rsidRDefault="00C102A9" w:rsidP="00CA09E7">
            <w:pPr>
              <w:spacing w:after="0"/>
              <w:rPr>
                <w:rFonts w:cs="Arial"/>
                <w:color w:val="000000"/>
              </w:rPr>
            </w:pPr>
          </w:p>
        </w:tc>
      </w:tr>
      <w:tr w:rsidR="00C102A9" w:rsidRPr="00235E16" w14:paraId="63B05363" w14:textId="77777777" w:rsidTr="00FC12F2">
        <w:trPr>
          <w:cantSplit/>
        </w:trPr>
        <w:tc>
          <w:tcPr>
            <w:tcW w:w="1440" w:type="dxa"/>
          </w:tcPr>
          <w:p w14:paraId="050F8A00" w14:textId="7E7BEB1B" w:rsidR="00C102A9" w:rsidRPr="0096307B" w:rsidRDefault="00C102A9" w:rsidP="00CA09E7">
            <w:pPr>
              <w:spacing w:after="0"/>
              <w:rPr>
                <w:rFonts w:cs="Arial"/>
                <w:color w:val="000000"/>
              </w:rPr>
            </w:pPr>
            <w:r w:rsidRPr="0096307B">
              <w:rPr>
                <w:rFonts w:cs="Arial"/>
                <w:color w:val="000000"/>
                <w:lang w:val="en-US"/>
              </w:rPr>
              <w:t>53-56</w:t>
            </w:r>
          </w:p>
        </w:tc>
        <w:tc>
          <w:tcPr>
            <w:tcW w:w="1440" w:type="dxa"/>
          </w:tcPr>
          <w:p w14:paraId="402DE5E3" w14:textId="72F76B75" w:rsidR="00C102A9" w:rsidRPr="0096307B" w:rsidRDefault="00C102A9" w:rsidP="00CA09E7">
            <w:pPr>
              <w:spacing w:after="0"/>
              <w:rPr>
                <w:rFonts w:cs="Arial"/>
                <w:color w:val="000000"/>
              </w:rPr>
            </w:pPr>
            <w:r w:rsidRPr="0096307B">
              <w:rPr>
                <w:rFonts w:cs="Arial"/>
                <w:color w:val="000000"/>
                <w:lang w:val="en-US"/>
              </w:rPr>
              <w:t>D</w:t>
            </w:r>
          </w:p>
        </w:tc>
        <w:tc>
          <w:tcPr>
            <w:tcW w:w="1440" w:type="dxa"/>
          </w:tcPr>
          <w:p w14:paraId="3BD8FEAC" w14:textId="77777777" w:rsidR="00C102A9" w:rsidRPr="00235E16" w:rsidRDefault="00C102A9" w:rsidP="00CA09E7">
            <w:pPr>
              <w:spacing w:after="0"/>
              <w:rPr>
                <w:rFonts w:cs="Arial"/>
                <w:color w:val="000000"/>
              </w:rPr>
            </w:pPr>
          </w:p>
        </w:tc>
        <w:tc>
          <w:tcPr>
            <w:tcW w:w="1440" w:type="dxa"/>
          </w:tcPr>
          <w:p w14:paraId="0EAED1B9" w14:textId="77777777" w:rsidR="00C102A9" w:rsidRPr="00235E16" w:rsidRDefault="00C102A9" w:rsidP="00CA09E7">
            <w:pPr>
              <w:spacing w:after="0"/>
              <w:rPr>
                <w:rFonts w:cs="Arial"/>
                <w:color w:val="000000"/>
              </w:rPr>
            </w:pPr>
          </w:p>
        </w:tc>
      </w:tr>
      <w:tr w:rsidR="00C102A9" w:rsidRPr="00235E16" w14:paraId="796BBAB6" w14:textId="77777777" w:rsidTr="00FC12F2">
        <w:trPr>
          <w:cantSplit/>
        </w:trPr>
        <w:tc>
          <w:tcPr>
            <w:tcW w:w="1440" w:type="dxa"/>
          </w:tcPr>
          <w:p w14:paraId="3A5CF3CB" w14:textId="34E6D061" w:rsidR="00C102A9" w:rsidRPr="0096307B" w:rsidRDefault="00C102A9" w:rsidP="00CA09E7">
            <w:pPr>
              <w:spacing w:after="0"/>
              <w:rPr>
                <w:rFonts w:cs="Arial"/>
                <w:color w:val="000000"/>
              </w:rPr>
            </w:pPr>
            <w:r w:rsidRPr="0096307B">
              <w:rPr>
                <w:rFonts w:cs="Arial"/>
                <w:color w:val="000000"/>
                <w:lang w:val="en-US"/>
              </w:rPr>
              <w:t>50-52</w:t>
            </w:r>
          </w:p>
        </w:tc>
        <w:tc>
          <w:tcPr>
            <w:tcW w:w="1440" w:type="dxa"/>
          </w:tcPr>
          <w:p w14:paraId="1B0186BE" w14:textId="15D4E13F" w:rsidR="00C102A9" w:rsidRPr="0096307B" w:rsidRDefault="00C102A9" w:rsidP="00CA09E7">
            <w:pPr>
              <w:spacing w:after="0"/>
              <w:rPr>
                <w:rFonts w:cs="Arial"/>
                <w:color w:val="000000"/>
              </w:rPr>
            </w:pPr>
            <w:r w:rsidRPr="0096307B">
              <w:rPr>
                <w:rFonts w:cs="Arial"/>
                <w:color w:val="000000"/>
                <w:lang w:val="en-US"/>
              </w:rPr>
              <w:t>D-</w:t>
            </w:r>
          </w:p>
        </w:tc>
        <w:tc>
          <w:tcPr>
            <w:tcW w:w="1440" w:type="dxa"/>
          </w:tcPr>
          <w:p w14:paraId="249AF241" w14:textId="77777777" w:rsidR="00C102A9" w:rsidRPr="00235E16" w:rsidRDefault="00C102A9" w:rsidP="00CA09E7">
            <w:pPr>
              <w:spacing w:after="0"/>
              <w:rPr>
                <w:rFonts w:cs="Arial"/>
                <w:color w:val="000000"/>
              </w:rPr>
            </w:pPr>
          </w:p>
        </w:tc>
        <w:tc>
          <w:tcPr>
            <w:tcW w:w="1440" w:type="dxa"/>
          </w:tcPr>
          <w:p w14:paraId="674C692C" w14:textId="77777777" w:rsidR="00C102A9" w:rsidRPr="00235E16" w:rsidRDefault="00C102A9" w:rsidP="00CA09E7">
            <w:pPr>
              <w:spacing w:after="0"/>
              <w:rPr>
                <w:rFonts w:cs="Arial"/>
                <w:color w:val="000000"/>
              </w:rPr>
            </w:pPr>
          </w:p>
        </w:tc>
      </w:tr>
      <w:tr w:rsidR="00C102A9" w:rsidRPr="00235E16" w14:paraId="14373630" w14:textId="77777777" w:rsidTr="00FC12F2">
        <w:trPr>
          <w:cantSplit/>
        </w:trPr>
        <w:tc>
          <w:tcPr>
            <w:tcW w:w="1440" w:type="dxa"/>
          </w:tcPr>
          <w:p w14:paraId="72897AC9" w14:textId="25268AC8" w:rsidR="00C102A9" w:rsidRPr="0096307B" w:rsidRDefault="00C102A9" w:rsidP="00CA09E7">
            <w:pPr>
              <w:spacing w:after="0"/>
              <w:rPr>
                <w:rFonts w:cs="Arial"/>
                <w:color w:val="000000"/>
              </w:rPr>
            </w:pPr>
            <w:r w:rsidRPr="0096307B">
              <w:rPr>
                <w:rFonts w:cs="Arial"/>
                <w:color w:val="000000"/>
                <w:lang w:val="en-US"/>
              </w:rPr>
              <w:t>0-49</w:t>
            </w:r>
          </w:p>
        </w:tc>
        <w:tc>
          <w:tcPr>
            <w:tcW w:w="1440" w:type="dxa"/>
          </w:tcPr>
          <w:p w14:paraId="1F386071" w14:textId="52A6EF1A" w:rsidR="00C102A9" w:rsidRPr="0096307B" w:rsidRDefault="00C102A9" w:rsidP="00CA09E7">
            <w:pPr>
              <w:spacing w:after="0"/>
              <w:rPr>
                <w:rFonts w:cs="Arial"/>
                <w:color w:val="000000"/>
              </w:rPr>
            </w:pPr>
            <w:r w:rsidRPr="0096307B">
              <w:rPr>
                <w:rFonts w:cs="Arial"/>
                <w:color w:val="000000"/>
                <w:lang w:val="en-US"/>
              </w:rPr>
              <w:t>F</w:t>
            </w:r>
          </w:p>
        </w:tc>
        <w:tc>
          <w:tcPr>
            <w:tcW w:w="1440" w:type="dxa"/>
          </w:tcPr>
          <w:p w14:paraId="50D8866C" w14:textId="77777777" w:rsidR="00C102A9" w:rsidRPr="00235E16" w:rsidRDefault="00C102A9" w:rsidP="00CA09E7">
            <w:pPr>
              <w:spacing w:after="0"/>
              <w:rPr>
                <w:rFonts w:cs="Arial"/>
                <w:color w:val="000000"/>
              </w:rPr>
            </w:pPr>
          </w:p>
        </w:tc>
        <w:tc>
          <w:tcPr>
            <w:tcW w:w="1440" w:type="dxa"/>
          </w:tcPr>
          <w:p w14:paraId="1DA9BFFE" w14:textId="77777777" w:rsidR="00C102A9" w:rsidRPr="00235E16" w:rsidRDefault="00C102A9" w:rsidP="00CA09E7">
            <w:pPr>
              <w:spacing w:after="0"/>
              <w:rPr>
                <w:rFonts w:cs="Arial"/>
                <w:color w:val="000000"/>
              </w:rPr>
            </w:pPr>
          </w:p>
        </w:tc>
      </w:tr>
    </w:tbl>
    <w:p w14:paraId="4116CBE2" w14:textId="77777777" w:rsidR="008E2CC8" w:rsidRPr="00235E16" w:rsidRDefault="00A05C89" w:rsidP="0096307B">
      <w:pPr>
        <w:pStyle w:val="Heading2"/>
        <w:spacing w:before="240"/>
      </w:pPr>
      <w:bookmarkStart w:id="34" w:name="_Toc534793489"/>
      <w:r w:rsidRPr="00235E16">
        <w:t>Late Assignments</w:t>
      </w:r>
      <w:bookmarkEnd w:id="34"/>
    </w:p>
    <w:p w14:paraId="21F0528F" w14:textId="075323E2" w:rsidR="00E6765E" w:rsidRPr="00235E16" w:rsidRDefault="00E6765E" w:rsidP="008E2CC8">
      <w:r w:rsidRPr="00235E16">
        <w:t>The weekly reading responses are an important element of students’ participation grade</w:t>
      </w:r>
      <w:r w:rsidR="00CA09E7" w:rsidRPr="00235E16">
        <w:t>. Because the student discussion leaders rely on their colleagues to submit discussion questions in a timely fashion, no late reading responses will be counted towards the participation grade.</w:t>
      </w:r>
    </w:p>
    <w:p w14:paraId="373825ED" w14:textId="39E55294" w:rsidR="003D01DB" w:rsidRPr="00235E16" w:rsidRDefault="003D01DB" w:rsidP="003D01DB">
      <w:pPr>
        <w:rPr>
          <w:rFonts w:cs="Arial"/>
          <w:szCs w:val="24"/>
        </w:rPr>
      </w:pPr>
      <w:r w:rsidRPr="00235E16">
        <w:rPr>
          <w:rFonts w:cs="Arial"/>
          <w:szCs w:val="24"/>
        </w:rPr>
        <w:t xml:space="preserve">There will be a penalty of 5% per day (including weekends) for late final papers. Late submissions of the </w:t>
      </w:r>
      <w:r w:rsidR="009F03A3">
        <w:rPr>
          <w:rFonts w:cs="Arial"/>
          <w:szCs w:val="24"/>
        </w:rPr>
        <w:t>topic statement and bibliography</w:t>
      </w:r>
      <w:r w:rsidRPr="00235E16">
        <w:rPr>
          <w:rFonts w:cs="Arial"/>
          <w:szCs w:val="24"/>
        </w:rPr>
        <w:t xml:space="preserve"> will not be accepted. This exercise involves working in a group/team environment, and by not submitting your </w:t>
      </w:r>
      <w:r w:rsidR="009F03A3">
        <w:rPr>
          <w:rFonts w:cs="Arial"/>
          <w:szCs w:val="24"/>
        </w:rPr>
        <w:t>work</w:t>
      </w:r>
      <w:r w:rsidRPr="00235E16">
        <w:rPr>
          <w:rFonts w:cs="Arial"/>
          <w:szCs w:val="24"/>
        </w:rPr>
        <w:t xml:space="preserve"> on time, you are seriously inconveniencing your colleagues. Students who do not submit their </w:t>
      </w:r>
      <w:r w:rsidR="009F03A3">
        <w:rPr>
          <w:rFonts w:cs="Arial"/>
          <w:szCs w:val="24"/>
        </w:rPr>
        <w:t>topic statement</w:t>
      </w:r>
      <w:r w:rsidRPr="00235E16">
        <w:rPr>
          <w:rFonts w:cs="Arial"/>
          <w:szCs w:val="24"/>
        </w:rPr>
        <w:t xml:space="preserve"> on time forfeit the opportunity to either receive a peer review</w:t>
      </w:r>
      <w:r w:rsidR="009F03A3">
        <w:rPr>
          <w:rFonts w:cs="Arial"/>
          <w:szCs w:val="24"/>
        </w:rPr>
        <w:t xml:space="preserve"> in the writing workshop</w:t>
      </w:r>
      <w:r w:rsidRPr="00235E16">
        <w:rPr>
          <w:rFonts w:cs="Arial"/>
          <w:szCs w:val="24"/>
        </w:rPr>
        <w:t xml:space="preserve">, or do one themselves. This is a kind of quid pro quo exercise, and given that it’s done over email, there’s no excuse for missing out. If you become seriously ill or experience an emergency in advance of this assignment, it is important </w:t>
      </w:r>
      <w:r w:rsidRPr="00235E16">
        <w:rPr>
          <w:rFonts w:cs="Arial"/>
          <w:szCs w:val="24"/>
        </w:rPr>
        <w:lastRenderedPageBreak/>
        <w:t>that you take steps to notify the instructor (me) about your situation so we can work something out.</w:t>
      </w:r>
    </w:p>
    <w:p w14:paraId="4E76A8F4" w14:textId="77777777" w:rsidR="00A05C89" w:rsidRPr="00235E16" w:rsidRDefault="00A05C89" w:rsidP="008E2CC8">
      <w:pPr>
        <w:pStyle w:val="Heading2"/>
      </w:pPr>
      <w:bookmarkStart w:id="35" w:name="_Toc534793490"/>
      <w:r w:rsidRPr="00235E16">
        <w:t>Absences, Missed Work, Illness</w:t>
      </w:r>
      <w:bookmarkEnd w:id="35"/>
    </w:p>
    <w:p w14:paraId="393C837D" w14:textId="011969CA" w:rsidR="008E2CC8" w:rsidRPr="00235E16" w:rsidRDefault="00CA09E7" w:rsidP="008E2CC8">
      <w:r w:rsidRPr="00235E16">
        <w:t>Participation in discussion is a crucial element of student learning in this class, and the discussion suffers when contributors are absent. If students are unavoidably absent, they should contact the instructor as soon as possible. Unexcused absences will impact participation grades.</w:t>
      </w:r>
    </w:p>
    <w:p w14:paraId="618D2CFF" w14:textId="77777777" w:rsidR="009F7FC2" w:rsidRPr="00235E16" w:rsidRDefault="008E2CC8" w:rsidP="008E2CC8">
      <w:pPr>
        <w:pStyle w:val="Heading2"/>
      </w:pPr>
      <w:bookmarkStart w:id="36" w:name="_Toc534793491"/>
      <w:r w:rsidRPr="00235E16">
        <w:t>Avenue to Learn</w:t>
      </w:r>
      <w:bookmarkEnd w:id="36"/>
    </w:p>
    <w:p w14:paraId="000423A2" w14:textId="77777777" w:rsidR="008E2CC8" w:rsidRPr="00235E16" w:rsidRDefault="008E2CC8" w:rsidP="008E2CC8">
      <w:r w:rsidRPr="00235E16">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235E16">
        <w:t>disclosure</w:t>
      </w:r>
      <w:proofErr w:type="gramEnd"/>
      <w:r w:rsidRPr="00235E16">
        <w:t xml:space="preserve"> please discuss this with the course instructor.</w:t>
      </w:r>
    </w:p>
    <w:p w14:paraId="732C334C" w14:textId="77777777" w:rsidR="00235E16" w:rsidRPr="00235E16" w:rsidRDefault="00235E16" w:rsidP="00235E16">
      <w:pPr>
        <w:shd w:val="clear" w:color="auto" w:fill="FFFFFF"/>
        <w:spacing w:after="225" w:line="240" w:lineRule="auto"/>
        <w:rPr>
          <w:rFonts w:cs="Arial"/>
          <w:b/>
          <w:bCs/>
          <w:color w:val="252525"/>
          <w:szCs w:val="24"/>
        </w:rPr>
      </w:pPr>
      <w:bookmarkStart w:id="37" w:name="_Toc534793492"/>
      <w:r w:rsidRPr="00235E16">
        <w:rPr>
          <w:rStyle w:val="Heading2Char"/>
          <w:rFonts w:cs="Arial"/>
          <w:sz w:val="24"/>
          <w:szCs w:val="24"/>
        </w:rPr>
        <w:t>Policy on Children in Class</w:t>
      </w:r>
      <w:bookmarkEnd w:id="37"/>
    </w:p>
    <w:p w14:paraId="00ADCBB7" w14:textId="2B2C80BB" w:rsidR="00235E16" w:rsidRPr="00235E16" w:rsidRDefault="00235E16" w:rsidP="00235E16">
      <w:pPr>
        <w:shd w:val="clear" w:color="auto" w:fill="FFFFFF"/>
        <w:spacing w:after="225" w:line="240" w:lineRule="auto"/>
        <w:rPr>
          <w:rFonts w:cs="Arial"/>
          <w:color w:val="252525"/>
          <w:szCs w:val="24"/>
        </w:rPr>
      </w:pPr>
      <w:r w:rsidRPr="00235E16">
        <w:rPr>
          <w:rFonts w:cs="Arial"/>
          <w:color w:val="252525"/>
          <w:szCs w:val="24"/>
        </w:rPr>
        <w:t>Currently, the university does not have a formal policy on children in the classroom. The policy described here is thus, a reflection of my own beliefs and commitments to student, staff and faculty parents. </w:t>
      </w:r>
    </w:p>
    <w:p w14:paraId="266CE3C1" w14:textId="64F883A8" w:rsidR="00235E16" w:rsidRPr="00235E16" w:rsidRDefault="00235E16" w:rsidP="00235E16">
      <w:pPr>
        <w:shd w:val="clear" w:color="auto" w:fill="FFFFFF"/>
        <w:spacing w:after="225" w:line="240" w:lineRule="auto"/>
        <w:rPr>
          <w:rFonts w:cs="Arial"/>
          <w:color w:val="252525"/>
          <w:szCs w:val="24"/>
        </w:rPr>
      </w:pPr>
      <w:r w:rsidRPr="00235E16">
        <w:rPr>
          <w:rFonts w:cs="Arial"/>
          <w:color w:val="252525"/>
          <w:szCs w:val="24"/>
        </w:rPr>
        <w:t xml:space="preserve">1) All breastfeeding babies are welcome in class as often as is necessary to support the breastfeeding relationship. </w:t>
      </w:r>
    </w:p>
    <w:p w14:paraId="3A6A2667" w14:textId="77777777" w:rsidR="00235E16" w:rsidRPr="00235E16" w:rsidRDefault="00235E16" w:rsidP="00235E16">
      <w:pPr>
        <w:shd w:val="clear" w:color="auto" w:fill="FFFFFF"/>
        <w:spacing w:after="225" w:line="240" w:lineRule="auto"/>
        <w:rPr>
          <w:rFonts w:cs="Arial"/>
          <w:color w:val="252525"/>
          <w:szCs w:val="24"/>
        </w:rPr>
      </w:pPr>
      <w:r w:rsidRPr="00235E16">
        <w:rPr>
          <w:rFonts w:cs="Arial"/>
          <w:color w:val="252525"/>
          <w:szCs w:val="24"/>
        </w:rPr>
        <w:t>2) For older children and babies, I understand that minor illnesses and unforeseen disruptions in childcare often put parents in the position of having to chose between missing class to stay home with a child and leaving him or her with someone you or the child does not feel comfortable with. While this is not meant to be a long-term childcare solution, occasionally bringing a child to class in order to cover gaps in care is perfectly acceptable.</w:t>
      </w:r>
    </w:p>
    <w:p w14:paraId="155000BE" w14:textId="77777777" w:rsidR="00235E16" w:rsidRPr="00235E16" w:rsidRDefault="00235E16" w:rsidP="00235E16">
      <w:pPr>
        <w:shd w:val="clear" w:color="auto" w:fill="FFFFFF"/>
        <w:spacing w:after="225" w:line="240" w:lineRule="auto"/>
        <w:rPr>
          <w:rFonts w:cs="Arial"/>
          <w:color w:val="252525"/>
          <w:szCs w:val="24"/>
        </w:rPr>
      </w:pPr>
      <w:r w:rsidRPr="00235E16">
        <w:rPr>
          <w:rFonts w:cs="Arial"/>
          <w:color w:val="252525"/>
          <w:szCs w:val="24"/>
        </w:rPr>
        <w:t>3) I ask that all students work with me to create a welcoming environment that is respectful of all forms of diversity, including diversity in parenting status.</w:t>
      </w:r>
    </w:p>
    <w:p w14:paraId="3939478D" w14:textId="1BFA0BB1" w:rsidR="00235E16" w:rsidRPr="00235E16" w:rsidRDefault="00235E16" w:rsidP="00235E16">
      <w:pPr>
        <w:shd w:val="clear" w:color="auto" w:fill="FFFFFF"/>
        <w:spacing w:after="225" w:line="240" w:lineRule="auto"/>
        <w:rPr>
          <w:rFonts w:cs="Arial"/>
          <w:color w:val="252525"/>
          <w:szCs w:val="24"/>
        </w:rPr>
      </w:pPr>
      <w:r w:rsidRPr="00235E16">
        <w:rPr>
          <w:rFonts w:cs="Arial"/>
          <w:color w:val="252525"/>
          <w:szCs w:val="24"/>
        </w:rPr>
        <w:t>4) In all cases where babies and children come to class, I ask that you sit close to the door so that if your little one needs attention and is disrupting learning for other students, you may step outside until their need has been met. Non-parents in the class, please reserve seats near the door for your parenting classmates.</w:t>
      </w:r>
    </w:p>
    <w:p w14:paraId="38A45BF0" w14:textId="2CDFACEF" w:rsidR="00235E16" w:rsidRPr="00235E16" w:rsidRDefault="00235E16" w:rsidP="00235E16">
      <w:pPr>
        <w:tabs>
          <w:tab w:val="left" w:pos="2287"/>
        </w:tabs>
      </w:pPr>
      <w:r w:rsidRPr="00235E16">
        <w:tab/>
      </w:r>
    </w:p>
    <w:p w14:paraId="7BABA67F" w14:textId="77777777" w:rsidR="00A05C89" w:rsidRPr="00235E16" w:rsidRDefault="00A05C89" w:rsidP="009F7FC2">
      <w:pPr>
        <w:pStyle w:val="Heading1"/>
      </w:pPr>
      <w:bookmarkStart w:id="38" w:name="_Toc534793493"/>
      <w:r w:rsidRPr="00235E16">
        <w:lastRenderedPageBreak/>
        <w:t>University Policies</w:t>
      </w:r>
      <w:bookmarkEnd w:id="38"/>
    </w:p>
    <w:p w14:paraId="031F5166" w14:textId="77777777" w:rsidR="00A05C89" w:rsidRPr="00235E16" w:rsidRDefault="00A05C89" w:rsidP="008E2CC8">
      <w:pPr>
        <w:pStyle w:val="Heading2"/>
      </w:pPr>
      <w:bookmarkStart w:id="39" w:name="_Toc534793494"/>
      <w:r w:rsidRPr="00235E16">
        <w:t>Academic Integrity Statement</w:t>
      </w:r>
      <w:bookmarkEnd w:id="39"/>
    </w:p>
    <w:p w14:paraId="638261E3" w14:textId="77777777" w:rsidR="00B5115D" w:rsidRPr="00235E16" w:rsidRDefault="00B5115D" w:rsidP="00B5115D">
      <w:r w:rsidRPr="00235E16">
        <w:t xml:space="preserve">You are expected to exhibit honesty and use ethical behavior in all aspects of the learning process. Academic credentials you earn are rooted in principles of honesty and academic integrity. </w:t>
      </w:r>
    </w:p>
    <w:p w14:paraId="1BF22546" w14:textId="77777777" w:rsidR="00B5115D" w:rsidRPr="00235E16" w:rsidRDefault="00B5115D" w:rsidP="00B5115D">
      <w:r w:rsidRPr="00235E16">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338CB6D0" w14:textId="426F934E" w:rsidR="00B5115D" w:rsidRPr="00235E16" w:rsidRDefault="00B5115D" w:rsidP="00B5115D">
      <w:r w:rsidRPr="00235E16">
        <w:t xml:space="preserve">It is your responsibility to understand what constitutes academic dishonesty. For information on the various types of academic dishonesty please refer to the </w:t>
      </w:r>
      <w:hyperlink r:id="rId22" w:history="1">
        <w:r w:rsidRPr="00653FBA">
          <w:rPr>
            <w:rStyle w:val="Hyperlink"/>
          </w:rPr>
          <w:t>Academic Integrity Policy</w:t>
        </w:r>
      </w:hyperlink>
      <w:r w:rsidR="00653FBA">
        <w:t>.</w:t>
      </w:r>
    </w:p>
    <w:p w14:paraId="384E0EDF" w14:textId="77777777" w:rsidR="00B5115D" w:rsidRPr="00235E16" w:rsidRDefault="00B5115D" w:rsidP="00B5115D">
      <w:r w:rsidRPr="00235E16">
        <w:t>The following illustrates only three forms of academic dishonesty:</w:t>
      </w:r>
    </w:p>
    <w:p w14:paraId="259D5B87" w14:textId="77777777" w:rsidR="00B5115D" w:rsidRPr="00235E16" w:rsidRDefault="00B5115D" w:rsidP="009F03A3">
      <w:pPr>
        <w:pStyle w:val="ListParagraph"/>
        <w:numPr>
          <w:ilvl w:val="0"/>
          <w:numId w:val="3"/>
        </w:numPr>
      </w:pPr>
      <w:r w:rsidRPr="00235E16">
        <w:t xml:space="preserve">Plagiarism, e.g. the submission of work that is not one’s own or for which credit has been obtained. </w:t>
      </w:r>
    </w:p>
    <w:p w14:paraId="20CD0DB5" w14:textId="77777777" w:rsidR="00B5115D" w:rsidRPr="00235E16" w:rsidRDefault="00B5115D" w:rsidP="009F03A3">
      <w:pPr>
        <w:pStyle w:val="ListParagraph"/>
        <w:numPr>
          <w:ilvl w:val="0"/>
          <w:numId w:val="3"/>
        </w:numPr>
      </w:pPr>
      <w:r w:rsidRPr="00235E16">
        <w:t>Improper collaboration in group work.</w:t>
      </w:r>
    </w:p>
    <w:p w14:paraId="75938D0D" w14:textId="77777777" w:rsidR="00B5115D" w:rsidRPr="00235E16" w:rsidRDefault="00B5115D" w:rsidP="009F03A3">
      <w:pPr>
        <w:pStyle w:val="ListParagraph"/>
        <w:numPr>
          <w:ilvl w:val="0"/>
          <w:numId w:val="3"/>
        </w:numPr>
      </w:pPr>
      <w:r w:rsidRPr="00235E16">
        <w:t>Copying or using unauthorized aids in tests and examinations.</w:t>
      </w:r>
    </w:p>
    <w:p w14:paraId="389723AF" w14:textId="77777777" w:rsidR="00A05C89" w:rsidRPr="00235E16" w:rsidRDefault="00B5115D" w:rsidP="008E2CC8">
      <w:pPr>
        <w:pStyle w:val="Heading2"/>
      </w:pPr>
      <w:bookmarkStart w:id="40" w:name="_Toc534793495"/>
      <w:r w:rsidRPr="00235E16">
        <w:t>Academic Accommodation of Students with Disabilities</w:t>
      </w:r>
      <w:bookmarkEnd w:id="40"/>
    </w:p>
    <w:p w14:paraId="1940C313" w14:textId="77777777" w:rsidR="00B5115D" w:rsidRPr="00235E16" w:rsidRDefault="00B5115D" w:rsidP="00B5115D">
      <w:r w:rsidRPr="00235E16">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23" w:history="1">
        <w:r w:rsidRPr="00235E16">
          <w:rPr>
            <w:rStyle w:val="Hyperlink"/>
          </w:rPr>
          <w:t>sas@mcmaster.ca</w:t>
        </w:r>
      </w:hyperlink>
      <w:r w:rsidRPr="00235E16">
        <w:t xml:space="preserve">. For further information, consult McMaster University’s Policy for </w:t>
      </w:r>
      <w:hyperlink r:id="rId24" w:history="1">
        <w:r w:rsidRPr="00235E16">
          <w:rPr>
            <w:rStyle w:val="Hyperlink"/>
          </w:rPr>
          <w:t>Academic Accommodation of Students with Disabilities.</w:t>
        </w:r>
      </w:hyperlink>
      <w:r w:rsidRPr="00235E16">
        <w:t xml:space="preserve"> </w:t>
      </w:r>
    </w:p>
    <w:p w14:paraId="648862DA" w14:textId="77777777" w:rsidR="00A05C89" w:rsidRPr="00235E16" w:rsidRDefault="00D44602" w:rsidP="008E2CC8">
      <w:pPr>
        <w:pStyle w:val="Heading2"/>
      </w:pPr>
      <w:bookmarkStart w:id="41" w:name="_Toc534793496"/>
      <w:r w:rsidRPr="00235E16">
        <w:t>Faculty of Social Sciences E-mail Communication Policy</w:t>
      </w:r>
      <w:bookmarkEnd w:id="41"/>
    </w:p>
    <w:p w14:paraId="5F4532D0" w14:textId="77777777" w:rsidR="00D44602" w:rsidRPr="00235E16" w:rsidRDefault="00D44602" w:rsidP="00D44602">
      <w:r w:rsidRPr="00235E16">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CBB4BCC" w14:textId="77777777" w:rsidR="009F7FC2" w:rsidRPr="00235E16" w:rsidRDefault="00D44602" w:rsidP="00D44602">
      <w:pPr>
        <w:pStyle w:val="Heading2"/>
      </w:pPr>
      <w:bookmarkStart w:id="42" w:name="_Toc534793497"/>
      <w:r w:rsidRPr="00235E16">
        <w:t>Course Modification</w:t>
      </w:r>
      <w:bookmarkEnd w:id="42"/>
    </w:p>
    <w:p w14:paraId="3857C313" w14:textId="77777777" w:rsidR="00A05C89" w:rsidRDefault="00D44602" w:rsidP="00642D4D">
      <w:pPr>
        <w:spacing w:line="240" w:lineRule="auto"/>
      </w:pPr>
      <w:r w:rsidRPr="00235E16">
        <w:t xml:space="preserve">The instructor and university reserve the right to modify elements of the course during the term. The university may change the dates and deadlines for any or all courses in extreme circumstances. If either type of modification becomes necessary, reasonable </w:t>
      </w:r>
      <w:r w:rsidRPr="00235E16">
        <w:lastRenderedPageBreak/>
        <w:t>notice and communication with the students will be given with explanation and the opportunity to comment on changes. It is the responsibility of the student to check his/her McMaster email and course websites weekly during the term and to note any changes.</w:t>
      </w:r>
    </w:p>
    <w:sectPr w:rsidR="00A05C89"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1D28F" w14:textId="77777777" w:rsidR="00BC4EFB" w:rsidRDefault="00BC4EFB" w:rsidP="002148F6">
      <w:pPr>
        <w:spacing w:after="0" w:line="240" w:lineRule="auto"/>
      </w:pPr>
      <w:r>
        <w:separator/>
      </w:r>
    </w:p>
  </w:endnote>
  <w:endnote w:type="continuationSeparator" w:id="0">
    <w:p w14:paraId="591A3B77" w14:textId="77777777" w:rsidR="00BC4EFB" w:rsidRDefault="00BC4EFB"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
    <w:altName w:val="Times New Roman"/>
    <w:panose1 w:val="00000000000000000000"/>
    <w:charset w:val="50"/>
    <w:family w:val="auto"/>
    <w:notTrueType/>
    <w:pitch w:val="variable"/>
    <w:sig w:usb0="00000001"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1F635B" w14:textId="77777777" w:rsidR="008C44FD" w:rsidRDefault="008C44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834131286"/>
      <w:docPartObj>
        <w:docPartGallery w:val="Page Numbers (Bottom of Page)"/>
        <w:docPartUnique/>
      </w:docPartObj>
    </w:sdtPr>
    <w:sdtEndPr>
      <w:rPr>
        <w:noProof/>
      </w:rPr>
    </w:sdtEndPr>
    <w:sdtContent>
      <w:p w14:paraId="37118F61" w14:textId="77777777" w:rsidR="00FC12F2" w:rsidRDefault="00FC12F2">
        <w:pPr>
          <w:pStyle w:val="Footer"/>
          <w:jc w:val="right"/>
        </w:pPr>
        <w:r>
          <w:fldChar w:fldCharType="begin"/>
        </w:r>
        <w:r>
          <w:instrText xml:space="preserve"> PAGE   \* MERGEFORMAT </w:instrText>
        </w:r>
        <w:r>
          <w:fldChar w:fldCharType="separate"/>
        </w:r>
        <w:r w:rsidR="008C44FD">
          <w:rPr>
            <w:noProof/>
          </w:rPr>
          <w:t>13</w:t>
        </w:r>
        <w:r>
          <w:rPr>
            <w:noProof/>
          </w:rPr>
          <w:fldChar w:fldCharType="end"/>
        </w:r>
      </w:p>
    </w:sdtContent>
  </w:sdt>
  <w:p w14:paraId="37B63E1A" w14:textId="77777777" w:rsidR="00FC12F2" w:rsidRDefault="00FC12F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32404F" w14:textId="77777777" w:rsidR="008C44FD" w:rsidRDefault="008C44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01666" w14:textId="77777777" w:rsidR="00BC4EFB" w:rsidRDefault="00BC4EFB" w:rsidP="002148F6">
      <w:pPr>
        <w:spacing w:after="0" w:line="240" w:lineRule="auto"/>
      </w:pPr>
      <w:r>
        <w:separator/>
      </w:r>
    </w:p>
  </w:footnote>
  <w:footnote w:type="continuationSeparator" w:id="0">
    <w:p w14:paraId="6D1EFAC9" w14:textId="77777777" w:rsidR="00BC4EFB" w:rsidRDefault="00BC4EFB" w:rsidP="002148F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9B3AB03" w14:textId="2EAA696C" w:rsidR="008C44FD" w:rsidRDefault="008C44FD">
    <w:pPr>
      <w:pStyle w:val="Header"/>
    </w:pPr>
    <w:r>
      <w:rPr>
        <w:noProof/>
      </w:rPr>
      <w:pict w14:anchorId="7BCAD0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7.85pt;height:131.95pt;rotation:315;z-index:-251655168;mso-wrap-edited:f;mso-position-horizontal:center;mso-position-horizontal-relative:margin;mso-position-vertical:center;mso-position-vertical-relative:margin" wrapcoords="21140 3314 18409 3436 16047 3682 15740 2700 15464 3559 15372 4909 14420 4173 14267 3805 13531 3068 11935 3314 11874 4173 11905 5277 11199 3559 10831 2945 10708 3314 10432 3436 10340 3805 9910 8468 8253 3559 8039 3068 5615 3682 5308 2823 5001 3314 4878 3805 4388 8591 2639 3805 2178 3314 1657 3068 1473 3191 1043 3314 583 4541 338 6259 123 6995 920 11291 1994 15709 614 12518 276 12764 184 13132 215 14114 184 14236 338 15218 399 15341 706 16568 736 16691 1043 17427 1841 17795 2455 17550 3007 16936 3927 17795 4142 17182 4418 14236 4848 13377 6597 17550 6627 17550 6995 17673 7118 17427 6995 16323 7210 17059 7947 17918 8008 17550 8008 14727 8253 15832 9327 17918 9481 17795 9757 16200 10953 17795 11138 17305 11230 16445 12365 17918 12457 17427 12488 13132 12886 12027 13561 11905 13838 13132 15586 17795 17734 17550 18010 17059 17826 15709 18869 18777 19145 17550 21201 17550 21447 17182 21293 15709 20342 11291 21017 11168 21232 10677 21078 9327 20281 5400 20925 5400 21170 5645 21232 5155 21232 3805 21140 3314" fillcolor="#cfcdcd [2894]" stroked="f">
          <v:textpath style="font-family:&quot;Arial&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4DD2D7" w14:textId="3F9DAB08" w:rsidR="00FC12F2" w:rsidRPr="003D75ED" w:rsidRDefault="008C44FD" w:rsidP="003D75ED">
    <w:pPr>
      <w:pStyle w:val="Header"/>
      <w:jc w:val="center"/>
      <w:rPr>
        <w:sz w:val="20"/>
        <w:szCs w:val="20"/>
      </w:rPr>
    </w:pPr>
    <w:r>
      <w:rPr>
        <w:noProof/>
      </w:rPr>
      <w:pict w14:anchorId="02B39D1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7.85pt;height:131.95pt;rotation:315;z-index:-251657216;mso-wrap-edited:f;mso-position-horizontal:center;mso-position-horizontal-relative:margin;mso-position-vertical:center;mso-position-vertical-relative:margin" wrapcoords="21140 3314 18409 3436 16047 3682 15740 2700 15464 3559 15372 4909 14420 4173 14267 3805 13531 3068 11935 3314 11874 4173 11905 5277 11199 3559 10831 2945 10708 3314 10432 3436 10340 3805 9910 8468 8253 3559 8039 3068 5615 3682 5308 2823 5001 3314 4878 3805 4388 8591 2639 3805 2178 3314 1657 3068 1473 3191 1043 3314 583 4541 338 6259 123 6995 920 11291 1994 15709 614 12518 276 12764 184 13132 215 14114 184 14236 338 15218 399 15341 706 16568 736 16691 1043 17427 1841 17795 2455 17550 3007 16936 3927 17795 4142 17182 4418 14236 4848 13377 6597 17550 6627 17550 6995 17673 7118 17427 6995 16323 7210 17059 7947 17918 8008 17550 8008 14727 8253 15832 9327 17918 9481 17795 9757 16200 10953 17795 11138 17305 11230 16445 12365 17918 12457 17427 12488 13132 12886 12027 13561 11905 13838 13132 15586 17795 17734 17550 18010 17059 17826 15709 18869 18777 19145 17550 21201 17550 21447 17182 21293 15709 20342 11291 21017 11168 21232 10677 21078 9327 20281 5400 20925 5400 21170 5645 21232 5155 21232 3805 21140 3314" fillcolor="#cfcdcd [2894]" stroked="f">
          <v:textpath style="font-family:&quot;Arial&quot;;font-size:1pt" string="SAMPLE"/>
        </v:shape>
      </w:pict>
    </w:r>
    <w:r w:rsidR="00FC12F2" w:rsidRPr="003D75ED">
      <w:rPr>
        <w:sz w:val="20"/>
        <w:szCs w:val="20"/>
      </w:rPr>
      <w:t>McMaster University</w:t>
    </w:r>
    <w:r w:rsidR="00FC12F2">
      <w:rPr>
        <w:sz w:val="20"/>
        <w:szCs w:val="20"/>
      </w:rPr>
      <w:t>,</w:t>
    </w:r>
    <w:r w:rsidR="00FC12F2" w:rsidRPr="003D75ED">
      <w:rPr>
        <w:sz w:val="20"/>
        <w:szCs w:val="20"/>
      </w:rPr>
      <w:t xml:space="preserve"> Department of </w:t>
    </w:r>
    <w:r w:rsidR="00FC12F2">
      <w:rPr>
        <w:sz w:val="20"/>
        <w:szCs w:val="20"/>
      </w:rPr>
      <w:t>Political Science, POLSCI 4RR3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79D830" w14:textId="015CD6E2" w:rsidR="008C44FD" w:rsidRDefault="008C44FD">
    <w:pPr>
      <w:pStyle w:val="Header"/>
    </w:pPr>
    <w:r>
      <w:rPr>
        <w:noProof/>
      </w:rPr>
      <w:pict w14:anchorId="67CEBE0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7.85pt;height:131.95pt;rotation:315;z-index:-251653120;mso-wrap-edited:f;mso-position-horizontal:center;mso-position-horizontal-relative:margin;mso-position-vertical:center;mso-position-vertical-relative:margin" wrapcoords="21140 3314 18409 3436 16047 3682 15740 2700 15464 3559 15372 4909 14420 4173 14267 3805 13531 3068 11935 3314 11874 4173 11905 5277 11199 3559 10831 2945 10708 3314 10432 3436 10340 3805 9910 8468 8253 3559 8039 3068 5615 3682 5308 2823 5001 3314 4878 3805 4388 8591 2639 3805 2178 3314 1657 3068 1473 3191 1043 3314 583 4541 338 6259 123 6995 920 11291 1994 15709 614 12518 276 12764 184 13132 215 14114 184 14236 338 15218 399 15341 706 16568 736 16691 1043 17427 1841 17795 2455 17550 3007 16936 3927 17795 4142 17182 4418 14236 4848 13377 6597 17550 6627 17550 6995 17673 7118 17427 6995 16323 7210 17059 7947 17918 8008 17550 8008 14727 8253 15832 9327 17918 9481 17795 9757 16200 10953 17795 11138 17305 11230 16445 12365 17918 12457 17427 12488 13132 12886 12027 13561 11905 13838 13132 15586 17795 17734 17550 18010 17059 17826 15709 18869 18777 19145 17550 21201 17550 21447 17182 21293 15709 20342 11291 21017 11168 21232 10677 21078 9327 20281 5400 20925 5400 21170 5645 21232 5155 21232 3805 21140 3314" fillcolor="#cfcdcd [2894]" stroked="f">
          <v:textpath style="font-family:&quot;Arial&quot;;font-size:1pt" string="S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DE8"/>
    <w:multiLevelType w:val="hybridMultilevel"/>
    <w:tmpl w:val="9BA0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F3C4B"/>
    <w:multiLevelType w:val="hybridMultilevel"/>
    <w:tmpl w:val="0B763274"/>
    <w:lvl w:ilvl="0" w:tplc="F3DAB8E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C169AA"/>
    <w:multiLevelType w:val="hybridMultilevel"/>
    <w:tmpl w:val="C14292F4"/>
    <w:lvl w:ilvl="0" w:tplc="F3D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97CC9"/>
    <w:multiLevelType w:val="hybridMultilevel"/>
    <w:tmpl w:val="EEDC13C2"/>
    <w:lvl w:ilvl="0" w:tplc="F3D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B15A0"/>
    <w:multiLevelType w:val="hybridMultilevel"/>
    <w:tmpl w:val="BFE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84667B"/>
    <w:multiLevelType w:val="hybridMultilevel"/>
    <w:tmpl w:val="8E444E58"/>
    <w:lvl w:ilvl="0" w:tplc="F3D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B0D9F"/>
    <w:multiLevelType w:val="hybridMultilevel"/>
    <w:tmpl w:val="8B4C6A6E"/>
    <w:lvl w:ilvl="0" w:tplc="F3DAB8E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C614A9"/>
    <w:multiLevelType w:val="hybridMultilevel"/>
    <w:tmpl w:val="9BF4684C"/>
    <w:lvl w:ilvl="0" w:tplc="F3D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9465D3"/>
    <w:multiLevelType w:val="hybridMultilevel"/>
    <w:tmpl w:val="33D02220"/>
    <w:lvl w:ilvl="0" w:tplc="F3D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FB2AF8"/>
    <w:multiLevelType w:val="hybridMultilevel"/>
    <w:tmpl w:val="7106587E"/>
    <w:lvl w:ilvl="0" w:tplc="F3D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B6102"/>
    <w:multiLevelType w:val="hybridMultilevel"/>
    <w:tmpl w:val="BF140D8E"/>
    <w:lvl w:ilvl="0" w:tplc="F3D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1E051A"/>
    <w:multiLevelType w:val="hybridMultilevel"/>
    <w:tmpl w:val="C0B0CF50"/>
    <w:lvl w:ilvl="0" w:tplc="F3DAB8E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A5AF2"/>
    <w:multiLevelType w:val="hybridMultilevel"/>
    <w:tmpl w:val="A434D352"/>
    <w:lvl w:ilvl="0" w:tplc="F3D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1F3C56"/>
    <w:multiLevelType w:val="hybridMultilevel"/>
    <w:tmpl w:val="BF26C8BE"/>
    <w:lvl w:ilvl="0" w:tplc="F3D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1"/>
  </w:num>
  <w:num w:numId="5">
    <w:abstractNumId w:val="7"/>
  </w:num>
  <w:num w:numId="6">
    <w:abstractNumId w:val="16"/>
  </w:num>
  <w:num w:numId="7">
    <w:abstractNumId w:val="10"/>
  </w:num>
  <w:num w:numId="8">
    <w:abstractNumId w:val="12"/>
  </w:num>
  <w:num w:numId="9">
    <w:abstractNumId w:val="9"/>
  </w:num>
  <w:num w:numId="10">
    <w:abstractNumId w:val="11"/>
  </w:num>
  <w:num w:numId="11">
    <w:abstractNumId w:val="2"/>
  </w:num>
  <w:num w:numId="12">
    <w:abstractNumId w:val="6"/>
  </w:num>
  <w:num w:numId="13">
    <w:abstractNumId w:val="15"/>
  </w:num>
  <w:num w:numId="14">
    <w:abstractNumId w:val="4"/>
  </w:num>
  <w:num w:numId="15">
    <w:abstractNumId w:val="5"/>
  </w:num>
  <w:num w:numId="16">
    <w:abstractNumId w:val="13"/>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8F"/>
    <w:rsid w:val="0000257D"/>
    <w:rsid w:val="000051B2"/>
    <w:rsid w:val="00016EC9"/>
    <w:rsid w:val="000213DC"/>
    <w:rsid w:val="0002197E"/>
    <w:rsid w:val="00040CE3"/>
    <w:rsid w:val="00041D1E"/>
    <w:rsid w:val="00063B49"/>
    <w:rsid w:val="00093B71"/>
    <w:rsid w:val="000950EB"/>
    <w:rsid w:val="000B0393"/>
    <w:rsid w:val="000F054C"/>
    <w:rsid w:val="001160DC"/>
    <w:rsid w:val="00132447"/>
    <w:rsid w:val="00170ABE"/>
    <w:rsid w:val="00190540"/>
    <w:rsid w:val="001B2D63"/>
    <w:rsid w:val="001D7B03"/>
    <w:rsid w:val="001E3592"/>
    <w:rsid w:val="001E657C"/>
    <w:rsid w:val="00202E10"/>
    <w:rsid w:val="00204FED"/>
    <w:rsid w:val="002148F6"/>
    <w:rsid w:val="00235E16"/>
    <w:rsid w:val="00265DBC"/>
    <w:rsid w:val="002824EB"/>
    <w:rsid w:val="002B1B46"/>
    <w:rsid w:val="002B299A"/>
    <w:rsid w:val="002B5F7F"/>
    <w:rsid w:val="002C3352"/>
    <w:rsid w:val="002D3F1E"/>
    <w:rsid w:val="002E5065"/>
    <w:rsid w:val="0030631B"/>
    <w:rsid w:val="00351218"/>
    <w:rsid w:val="00360155"/>
    <w:rsid w:val="003606D7"/>
    <w:rsid w:val="0036595F"/>
    <w:rsid w:val="00371753"/>
    <w:rsid w:val="003B2898"/>
    <w:rsid w:val="003C0E19"/>
    <w:rsid w:val="003D01DB"/>
    <w:rsid w:val="003D75ED"/>
    <w:rsid w:val="00401DB4"/>
    <w:rsid w:val="00405969"/>
    <w:rsid w:val="004161BD"/>
    <w:rsid w:val="004215BA"/>
    <w:rsid w:val="004323C8"/>
    <w:rsid w:val="00440A92"/>
    <w:rsid w:val="00443D27"/>
    <w:rsid w:val="00467794"/>
    <w:rsid w:val="004874BD"/>
    <w:rsid w:val="004B6FA7"/>
    <w:rsid w:val="004E008F"/>
    <w:rsid w:val="004F0A1E"/>
    <w:rsid w:val="00554C6E"/>
    <w:rsid w:val="00562E04"/>
    <w:rsid w:val="00566FA6"/>
    <w:rsid w:val="00576517"/>
    <w:rsid w:val="00597317"/>
    <w:rsid w:val="005A005D"/>
    <w:rsid w:val="005A5967"/>
    <w:rsid w:val="00606B7B"/>
    <w:rsid w:val="0061410A"/>
    <w:rsid w:val="00614F2F"/>
    <w:rsid w:val="0062361E"/>
    <w:rsid w:val="006236B7"/>
    <w:rsid w:val="0063554A"/>
    <w:rsid w:val="00642D4D"/>
    <w:rsid w:val="00653FBA"/>
    <w:rsid w:val="00666295"/>
    <w:rsid w:val="00681547"/>
    <w:rsid w:val="0069725D"/>
    <w:rsid w:val="006B1D45"/>
    <w:rsid w:val="006E4EB4"/>
    <w:rsid w:val="00702892"/>
    <w:rsid w:val="00720F69"/>
    <w:rsid w:val="00721161"/>
    <w:rsid w:val="00722498"/>
    <w:rsid w:val="007328DA"/>
    <w:rsid w:val="00746B9F"/>
    <w:rsid w:val="007522A3"/>
    <w:rsid w:val="007962C5"/>
    <w:rsid w:val="007A4471"/>
    <w:rsid w:val="007B5A48"/>
    <w:rsid w:val="007C43B7"/>
    <w:rsid w:val="007D5208"/>
    <w:rsid w:val="007E7AF4"/>
    <w:rsid w:val="00826852"/>
    <w:rsid w:val="008A7464"/>
    <w:rsid w:val="008B17D2"/>
    <w:rsid w:val="008C44FD"/>
    <w:rsid w:val="008C6F74"/>
    <w:rsid w:val="008E2CC8"/>
    <w:rsid w:val="00927AE1"/>
    <w:rsid w:val="00952946"/>
    <w:rsid w:val="00953AF2"/>
    <w:rsid w:val="0096307B"/>
    <w:rsid w:val="00971ABD"/>
    <w:rsid w:val="00974F47"/>
    <w:rsid w:val="009A6238"/>
    <w:rsid w:val="009A7560"/>
    <w:rsid w:val="009B7F53"/>
    <w:rsid w:val="009C06EB"/>
    <w:rsid w:val="009E2E12"/>
    <w:rsid w:val="009F03A3"/>
    <w:rsid w:val="009F7FC2"/>
    <w:rsid w:val="00A03C8F"/>
    <w:rsid w:val="00A05C89"/>
    <w:rsid w:val="00A10708"/>
    <w:rsid w:val="00A1566C"/>
    <w:rsid w:val="00A16DA9"/>
    <w:rsid w:val="00A34458"/>
    <w:rsid w:val="00A4351E"/>
    <w:rsid w:val="00A45BB2"/>
    <w:rsid w:val="00A66153"/>
    <w:rsid w:val="00A9006D"/>
    <w:rsid w:val="00A950D0"/>
    <w:rsid w:val="00B252F7"/>
    <w:rsid w:val="00B45D69"/>
    <w:rsid w:val="00B461C8"/>
    <w:rsid w:val="00B5115D"/>
    <w:rsid w:val="00B56782"/>
    <w:rsid w:val="00B70D7C"/>
    <w:rsid w:val="00B74D6C"/>
    <w:rsid w:val="00B86FDD"/>
    <w:rsid w:val="00B9022C"/>
    <w:rsid w:val="00BB1BEF"/>
    <w:rsid w:val="00BB26FD"/>
    <w:rsid w:val="00BC1AE3"/>
    <w:rsid w:val="00BC4EFB"/>
    <w:rsid w:val="00BC6D5E"/>
    <w:rsid w:val="00BF3D2E"/>
    <w:rsid w:val="00C003C5"/>
    <w:rsid w:val="00C102A9"/>
    <w:rsid w:val="00C273DF"/>
    <w:rsid w:val="00C542BD"/>
    <w:rsid w:val="00C64052"/>
    <w:rsid w:val="00C65017"/>
    <w:rsid w:val="00C7154E"/>
    <w:rsid w:val="00C74EB1"/>
    <w:rsid w:val="00C763B7"/>
    <w:rsid w:val="00C93204"/>
    <w:rsid w:val="00C94AC1"/>
    <w:rsid w:val="00CA09E7"/>
    <w:rsid w:val="00CA25AF"/>
    <w:rsid w:val="00CC0140"/>
    <w:rsid w:val="00CE36D0"/>
    <w:rsid w:val="00D144C9"/>
    <w:rsid w:val="00D200BD"/>
    <w:rsid w:val="00D44602"/>
    <w:rsid w:val="00D56B2A"/>
    <w:rsid w:val="00D778AA"/>
    <w:rsid w:val="00DA1696"/>
    <w:rsid w:val="00DD3333"/>
    <w:rsid w:val="00DD55CC"/>
    <w:rsid w:val="00DF2CAD"/>
    <w:rsid w:val="00DF5D2F"/>
    <w:rsid w:val="00DF6749"/>
    <w:rsid w:val="00E00655"/>
    <w:rsid w:val="00E20762"/>
    <w:rsid w:val="00E27FC5"/>
    <w:rsid w:val="00E34470"/>
    <w:rsid w:val="00E50A5C"/>
    <w:rsid w:val="00E6765E"/>
    <w:rsid w:val="00E941F9"/>
    <w:rsid w:val="00E95A85"/>
    <w:rsid w:val="00EA0515"/>
    <w:rsid w:val="00EA59DF"/>
    <w:rsid w:val="00F37E85"/>
    <w:rsid w:val="00F37FDC"/>
    <w:rsid w:val="00F426E1"/>
    <w:rsid w:val="00F8051E"/>
    <w:rsid w:val="00F9151D"/>
    <w:rsid w:val="00FA7DE4"/>
    <w:rsid w:val="00FB0E8B"/>
    <w:rsid w:val="00FB48CA"/>
    <w:rsid w:val="00FC12F2"/>
    <w:rsid w:val="00FC4388"/>
    <w:rsid w:val="00FD6462"/>
    <w:rsid w:val="00FE4C33"/>
    <w:rsid w:val="00FF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456A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paragraph" w:styleId="BodyText">
    <w:name w:val="Body Text"/>
    <w:basedOn w:val="Normal"/>
    <w:link w:val="BodyTextChar"/>
    <w:uiPriority w:val="99"/>
    <w:rsid w:val="0063554A"/>
    <w:pPr>
      <w:spacing w:after="120" w:line="240" w:lineRule="auto"/>
    </w:pPr>
    <w:rPr>
      <w:rFonts w:ascii="Calibri" w:eastAsia="??" w:hAnsi="Calibri" w:cs="Times New Roman"/>
      <w:lang w:val="en-GB" w:eastAsia="ja-JP"/>
    </w:rPr>
  </w:style>
  <w:style w:type="character" w:customStyle="1" w:styleId="BodyTextChar">
    <w:name w:val="Body Text Char"/>
    <w:basedOn w:val="DefaultParagraphFont"/>
    <w:link w:val="BodyText"/>
    <w:uiPriority w:val="99"/>
    <w:rsid w:val="0063554A"/>
    <w:rPr>
      <w:rFonts w:ascii="Calibri" w:eastAsia="??" w:hAnsi="Calibri" w:cs="Times New Roman"/>
      <w:sz w:val="24"/>
      <w:lang w:val="en-GB" w:eastAsia="ja-JP"/>
    </w:rPr>
  </w:style>
  <w:style w:type="character" w:customStyle="1" w:styleId="hcite">
    <w:name w:val="hcite"/>
    <w:basedOn w:val="DefaultParagraphFont"/>
    <w:uiPriority w:val="99"/>
    <w:rsid w:val="00E27FC5"/>
    <w:rPr>
      <w:rFonts w:cs="Times New Roman"/>
    </w:rPr>
  </w:style>
  <w:style w:type="paragraph" w:styleId="BodyText3">
    <w:name w:val="Body Text 3"/>
    <w:basedOn w:val="Normal"/>
    <w:link w:val="BodyText3Char"/>
    <w:uiPriority w:val="99"/>
    <w:unhideWhenUsed/>
    <w:rsid w:val="00204FED"/>
    <w:pPr>
      <w:spacing w:after="120"/>
    </w:pPr>
    <w:rPr>
      <w:sz w:val="16"/>
      <w:szCs w:val="16"/>
    </w:rPr>
  </w:style>
  <w:style w:type="character" w:customStyle="1" w:styleId="BodyText3Char">
    <w:name w:val="Body Text 3 Char"/>
    <w:basedOn w:val="DefaultParagraphFont"/>
    <w:link w:val="BodyText3"/>
    <w:uiPriority w:val="99"/>
    <w:rsid w:val="00204FED"/>
    <w:rPr>
      <w:rFonts w:ascii="Arial" w:hAnsi="Arial"/>
      <w:sz w:val="16"/>
      <w:szCs w:val="16"/>
    </w:rPr>
  </w:style>
  <w:style w:type="paragraph" w:styleId="NormalWeb">
    <w:name w:val="Normal (Web)"/>
    <w:basedOn w:val="Normal"/>
    <w:uiPriority w:val="99"/>
    <w:rsid w:val="00063B49"/>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063B49"/>
    <w:rPr>
      <w:color w:val="954F72" w:themeColor="followedHyperlink"/>
      <w:u w:val="single"/>
    </w:rPr>
  </w:style>
  <w:style w:type="character" w:styleId="Strong">
    <w:name w:val="Strong"/>
    <w:basedOn w:val="DefaultParagraphFont"/>
    <w:uiPriority w:val="22"/>
    <w:qFormat/>
    <w:rsid w:val="00235E16"/>
    <w:rPr>
      <w:b/>
      <w:bCs/>
    </w:rPr>
  </w:style>
  <w:style w:type="character" w:styleId="CommentReference">
    <w:name w:val="annotation reference"/>
    <w:basedOn w:val="DefaultParagraphFont"/>
    <w:uiPriority w:val="99"/>
    <w:semiHidden/>
    <w:unhideWhenUsed/>
    <w:rsid w:val="00371753"/>
    <w:rPr>
      <w:sz w:val="18"/>
      <w:szCs w:val="18"/>
    </w:rPr>
  </w:style>
  <w:style w:type="paragraph" w:styleId="CommentText">
    <w:name w:val="annotation text"/>
    <w:basedOn w:val="Normal"/>
    <w:link w:val="CommentTextChar"/>
    <w:uiPriority w:val="99"/>
    <w:semiHidden/>
    <w:unhideWhenUsed/>
    <w:rsid w:val="00371753"/>
    <w:pPr>
      <w:spacing w:line="240" w:lineRule="auto"/>
    </w:pPr>
    <w:rPr>
      <w:szCs w:val="24"/>
    </w:rPr>
  </w:style>
  <w:style w:type="character" w:customStyle="1" w:styleId="CommentTextChar">
    <w:name w:val="Comment Text Char"/>
    <w:basedOn w:val="DefaultParagraphFont"/>
    <w:link w:val="CommentText"/>
    <w:uiPriority w:val="99"/>
    <w:semiHidden/>
    <w:rsid w:val="00371753"/>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71753"/>
    <w:rPr>
      <w:b/>
      <w:bCs/>
      <w:sz w:val="20"/>
      <w:szCs w:val="20"/>
    </w:rPr>
  </w:style>
  <w:style w:type="character" w:customStyle="1" w:styleId="CommentSubjectChar">
    <w:name w:val="Comment Subject Char"/>
    <w:basedOn w:val="CommentTextChar"/>
    <w:link w:val="CommentSubject"/>
    <w:uiPriority w:val="99"/>
    <w:semiHidden/>
    <w:rsid w:val="0037175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3438">
      <w:bodyDiv w:val="1"/>
      <w:marLeft w:val="0"/>
      <w:marRight w:val="0"/>
      <w:marTop w:val="0"/>
      <w:marBottom w:val="0"/>
      <w:divBdr>
        <w:top w:val="none" w:sz="0" w:space="0" w:color="auto"/>
        <w:left w:val="none" w:sz="0" w:space="0" w:color="auto"/>
        <w:bottom w:val="none" w:sz="0" w:space="0" w:color="auto"/>
        <w:right w:val="none" w:sz="0" w:space="0" w:color="auto"/>
      </w:divBdr>
    </w:div>
    <w:div w:id="949387261">
      <w:bodyDiv w:val="1"/>
      <w:marLeft w:val="0"/>
      <w:marRight w:val="0"/>
      <w:marTop w:val="0"/>
      <w:marBottom w:val="0"/>
      <w:divBdr>
        <w:top w:val="none" w:sz="0" w:space="0" w:color="auto"/>
        <w:left w:val="none" w:sz="0" w:space="0" w:color="auto"/>
        <w:bottom w:val="none" w:sz="0" w:space="0" w:color="auto"/>
        <w:right w:val="none" w:sz="0" w:space="0" w:color="auto"/>
      </w:divBdr>
    </w:div>
    <w:div w:id="16736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s://www.nytimes.com/2018/12/30/us/politics/obamacare-appeal-judge.html?rref=collection%2Ftimestopic%2FHealth%20Care%20Reform&amp;action=click&amp;contentCollection=timestopics&amp;region=stream&amp;module=stream_unit&amp;version=latest&amp;contentPlacement=2&amp;pgtype=c" TargetMode="External"/><Relationship Id="rId21" Type="http://schemas.openxmlformats.org/officeDocument/2006/relationships/hyperlink" Target="https://library.mcmaster.ca/research/citing" TargetMode="External"/><Relationship Id="rId22" Type="http://schemas.openxmlformats.org/officeDocument/2006/relationships/hyperlink" Target="https://www.mcmaster.ca/academicintegrity/" TargetMode="External"/><Relationship Id="rId23" Type="http://schemas.openxmlformats.org/officeDocument/2006/relationships/hyperlink" Target="mailto:sas@mcmaster.ca" TargetMode="External"/><Relationship Id="rId24" Type="http://schemas.openxmlformats.org/officeDocument/2006/relationships/hyperlink" Target="http://www.mcmaster.ca/policy/Students-AcademicStudies/AcademicAccommodation-StudentsWithDisabilities.pdf"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s://fncaringsociety.com/jordans-principle" TargetMode="External"/><Relationship Id="rId15" Type="http://schemas.openxmlformats.org/officeDocument/2006/relationships/hyperlink" Target="https://www.mentalhealthcommission.ca/sites/default/files/2016-08/advancing_the_mental_health_strategy_for_canada_a_framework_for_action.pdf" TargetMode="External"/><Relationship Id="rId16" Type="http://schemas.openxmlformats.org/officeDocument/2006/relationships/hyperlink" Target="https://www.mentalhealthcommission.ca/sites/default/files/MHStrategy_Strategy_ENG.pdf" TargetMode="External"/><Relationship Id="rId17" Type="http://schemas.openxmlformats.org/officeDocument/2006/relationships/hyperlink" Target="https://www.crppc-gccamp.ca/" TargetMode="External"/><Relationship Id="rId18" Type="http://schemas.openxmlformats.org/officeDocument/2006/relationships/hyperlink" Target="https://www.theguardian.com/politics/2018/oct/13/brexit-doctors-and-nurses-nhs-will-get-worse" TargetMode="External"/><Relationship Id="rId19" Type="http://schemas.openxmlformats.org/officeDocument/2006/relationships/hyperlink" Target="https://www.washingtonpost.com/national/health-science/timeline-despite-gops-failure-to-repeal-obamacare-the-aca-has-changed/2018/04/05/dba36240-38b1-11e8-af3c-2123715f78df_story.html?noredirect=on&amp;utm_term=.ef2371f5754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8F7F-8FF9-2244-B691-B718318E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4081</Words>
  <Characters>23266</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POLSCI 4RR3 course outline winter 2019</vt:lpstr>
    </vt:vector>
  </TitlesOfParts>
  <Company>Hewlett-Packard Company</Company>
  <LinksUpToDate>false</LinksUpToDate>
  <CharactersWithSpaces>27293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POLSCI 4RR3 course outline winter 2019</dc:title>
  <dc:subject>Level IV health policy course outline</dc:subject>
  <dc:creator>Katherine Boothe</dc:creator>
  <cp:keywords>health policy, undergraduate course outline</cp:keywords>
  <cp:lastModifiedBy>Katherine Boothe</cp:lastModifiedBy>
  <cp:revision>2</cp:revision>
  <cp:lastPrinted>2019-01-09T15:35:00Z</cp:lastPrinted>
  <dcterms:created xsi:type="dcterms:W3CDTF">2020-05-07T14:35:00Z</dcterms:created>
  <dcterms:modified xsi:type="dcterms:W3CDTF">2020-05-07T14:35:00Z</dcterms:modified>
</cp:coreProperties>
</file>